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8E3" w:rsidRDefault="002648E3" w:rsidP="002648E3">
      <w:r>
        <w:t xml:space="preserve">See Martin v. </w:t>
      </w:r>
      <w:proofErr w:type="spellStart"/>
      <w:r>
        <w:t>Catalanotto</w:t>
      </w:r>
      <w:proofErr w:type="spellEnd"/>
      <w:r>
        <w:t xml:space="preserve">, </w:t>
      </w:r>
      <w:proofErr w:type="gramStart"/>
      <w:r>
        <w:t>895 F.2d 1040, 1042</w:t>
      </w:r>
      <w:proofErr w:type="gramEnd"/>
      <w:r>
        <w:t xml:space="preserve"> (5th Cir. 1990). </w:t>
      </w:r>
    </w:p>
    <w:p w:rsidR="002648E3" w:rsidRDefault="002648E3" w:rsidP="002648E3">
      <w:hyperlink r:id="rId5" w:history="1">
        <w:r w:rsidRPr="00D33AEA">
          <w:rPr>
            <w:rStyle w:val="Hyperlink"/>
          </w:rPr>
          <w:t>https://scholar.google.com/scholar_case?case=2531215351511793814&amp;q=Martin+v.+Catalanotto,+895+F.2d+1040,+1042+(5th+Cir.+1990).+&amp;hl=en&amp;as_sdt=40006</w:t>
        </w:r>
      </w:hyperlink>
      <w:r>
        <w:t xml:space="preserve"> </w:t>
      </w:r>
    </w:p>
    <w:p w:rsidR="002648E3" w:rsidRDefault="002648E3" w:rsidP="002648E3">
      <w:r>
        <w:t xml:space="preserve">In Bounds v. Smith, 430 U.S. 817, 825, 97 </w:t>
      </w:r>
      <w:proofErr w:type="spellStart"/>
      <w:r>
        <w:t>S.Ct</w:t>
      </w:r>
      <w:proofErr w:type="spellEnd"/>
      <w:r>
        <w:t>. 1491, 1496, 52 L.Ed.2d 72 (1977)</w:t>
      </w:r>
    </w:p>
    <w:p w:rsidR="002648E3" w:rsidRDefault="002648E3" w:rsidP="002648E3">
      <w:hyperlink r:id="rId6" w:history="1">
        <w:r w:rsidRPr="00D33AEA">
          <w:rPr>
            <w:rStyle w:val="Hyperlink"/>
          </w:rPr>
          <w:t>https://scholar.google.com/scholar_case?case=13244530668768670135&amp;q=Bounds+v.+Smith,+430+U.S.+817,+825,+97+S.Ct.+1491,+1496,+52+L.Ed.2d+72+(1977)&amp;hl=en&amp;as_sdt=40006</w:t>
        </w:r>
      </w:hyperlink>
      <w:r>
        <w:t xml:space="preserve"> </w:t>
      </w:r>
    </w:p>
    <w:p w:rsidR="002648E3" w:rsidRDefault="002648E3" w:rsidP="002648E3">
      <w:proofErr w:type="gramStart"/>
      <w:r>
        <w:t>Chandler v. Baird, 926 F.2d 1057, 1062 (11th Cir. 1991).</w:t>
      </w:r>
      <w:proofErr w:type="gramEnd"/>
      <w:r>
        <w:t xml:space="preserve"> </w:t>
      </w:r>
    </w:p>
    <w:p w:rsidR="002648E3" w:rsidRDefault="002648E3" w:rsidP="002648E3">
      <w:hyperlink r:id="rId7" w:history="1">
        <w:r w:rsidRPr="00D33AEA">
          <w:rPr>
            <w:rStyle w:val="Hyperlink"/>
          </w:rPr>
          <w:t>https://scholar.google.com/scholar_case?case=5600195091756863080&amp;q=Chandler+v.+Baird,+926+F.2d+1057,+1062+(11th+Cir.+1991)&amp;hl=en&amp;as_sdt=40006</w:t>
        </w:r>
      </w:hyperlink>
      <w:r>
        <w:t xml:space="preserve"> </w:t>
      </w:r>
    </w:p>
    <w:p w:rsidR="002648E3" w:rsidRDefault="002648E3" w:rsidP="002648E3">
      <w:r>
        <w:t xml:space="preserve"> </w:t>
      </w:r>
      <w:proofErr w:type="gramStart"/>
      <w:r>
        <w:t xml:space="preserve">Lewis v. Casey, 518 U.S. 343,351, 116 </w:t>
      </w:r>
      <w:proofErr w:type="spellStart"/>
      <w:r>
        <w:t>S.Ct</w:t>
      </w:r>
      <w:proofErr w:type="spellEnd"/>
      <w:r>
        <w:t>. 2174, 2180, 135 L.Ed.2d 606 (1996).</w:t>
      </w:r>
      <w:proofErr w:type="gramEnd"/>
      <w:r>
        <w:t xml:space="preserve"> </w:t>
      </w:r>
    </w:p>
    <w:p w:rsidR="002648E3" w:rsidRDefault="002648E3" w:rsidP="002648E3">
      <w:hyperlink r:id="rId8" w:history="1">
        <w:r w:rsidRPr="00D33AEA">
          <w:rPr>
            <w:rStyle w:val="Hyperlink"/>
          </w:rPr>
          <w:t>https://scholar.google.com/scholar_case?case=16817604609202569554&amp;q=Lewis+v.+Casey,+518+U.S.+343,351,+116+S.Ct.+2174,+2180&amp;hl=en&amp;as_sdt=40006</w:t>
        </w:r>
      </w:hyperlink>
      <w:r>
        <w:t xml:space="preserve"> </w:t>
      </w:r>
    </w:p>
    <w:p w:rsidR="00945794" w:rsidRDefault="002648E3" w:rsidP="002648E3">
      <w:r>
        <w:t>In another inmate case, the court stated, “[w]</w:t>
      </w:r>
      <w:proofErr w:type="spellStart"/>
      <w:r>
        <w:t>hile</w:t>
      </w:r>
      <w:proofErr w:type="spellEnd"/>
      <w:r>
        <w:t xml:space="preserve"> it is clearly impermissible to obstruct a prisoner’s physical access to the courts, or to take actions that effectively deny court access, it is not constitutionally repugnant to require an indigent civil litigant to comply with rules necessary to facilitate the functioning of the justice system.” Hodge v. Prince, 730 F. Supp. 747, 751 (N.D. Tex. 1990), affirmed, 923 F.2d 853 (5th Cir. 1991), aff’d, 923 F.2d 853 (5th Cir. 1991).</w:t>
      </w:r>
    </w:p>
    <w:p w:rsidR="002648E3" w:rsidRDefault="002648E3" w:rsidP="002648E3">
      <w:hyperlink r:id="rId9" w:history="1">
        <w:r w:rsidRPr="00D33AEA">
          <w:rPr>
            <w:rStyle w:val="Hyperlink"/>
          </w:rPr>
          <w:t>https://scholar.google.com/scholar_case?case=4218493624667700181&amp;q=Hodge+v.+Prince,+730+F.+Supp.+747,+751+(N.D.+Tex.+1990),+affirmed,+923+F.2d+853+(5th+Cir.+1991),+aff%E2%80%99d,+923+F.2d+853+(5th+Cir.+1991&amp;hl=en&amp;as_sdt=40006</w:t>
        </w:r>
      </w:hyperlink>
      <w:r>
        <w:t xml:space="preserve"> </w:t>
      </w:r>
    </w:p>
    <w:p w:rsidR="002648E3" w:rsidRDefault="002648E3" w:rsidP="002648E3"/>
    <w:p w:rsidR="002648E3" w:rsidRDefault="002648E3" w:rsidP="002648E3">
      <w:hyperlink r:id="rId10" w:history="1">
        <w:r w:rsidRPr="00D33AEA">
          <w:rPr>
            <w:rStyle w:val="Hyperlink"/>
          </w:rPr>
          <w:t>http://legaliq.com/Case/Hodge_V_Prince</w:t>
        </w:r>
      </w:hyperlink>
      <w:r>
        <w:t xml:space="preserve"> </w:t>
      </w:r>
      <w:bookmarkStart w:id="0" w:name="_GoBack"/>
      <w:bookmarkEnd w:id="0"/>
    </w:p>
    <w:sectPr w:rsidR="00264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E3"/>
    <w:rsid w:val="002648E3"/>
    <w:rsid w:val="0094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8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8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_case?case=16817604609202569554&amp;q=Lewis+v.+Casey,+518+U.S.+343,351,+116+S.Ct.+2174,+2180&amp;hl=en&amp;as_sdt=40006" TargetMode="External"/><Relationship Id="rId3" Type="http://schemas.openxmlformats.org/officeDocument/2006/relationships/settings" Target="settings.xml"/><Relationship Id="rId7" Type="http://schemas.openxmlformats.org/officeDocument/2006/relationships/hyperlink" Target="https://scholar.google.com/scholar_case?case=5600195091756863080&amp;q=Chandler+v.+Baird,+926+F.2d+1057,+1062+(11th+Cir.+1991)&amp;hl=en&amp;as_sdt=40006"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cholar.google.com/scholar_case?case=13244530668768670135&amp;q=Bounds+v.+Smith,+430+U.S.+817,+825,+97+S.Ct.+1491,+1496,+52+L.Ed.2d+72+(1977)&amp;hl=en&amp;as_sdt=40006" TargetMode="External"/><Relationship Id="rId11" Type="http://schemas.openxmlformats.org/officeDocument/2006/relationships/fontTable" Target="fontTable.xml"/><Relationship Id="rId5" Type="http://schemas.openxmlformats.org/officeDocument/2006/relationships/hyperlink" Target="https://scholar.google.com/scholar_case?case=2531215351511793814&amp;q=Martin+v.+Catalanotto,+895+F.2d+1040,+1042+(5th+Cir.+1990).+&amp;hl=en&amp;as_sdt=40006" TargetMode="External"/><Relationship Id="rId10" Type="http://schemas.openxmlformats.org/officeDocument/2006/relationships/hyperlink" Target="http://legaliq.com/Case/Hodge_V_Prince" TargetMode="External"/><Relationship Id="rId4" Type="http://schemas.openxmlformats.org/officeDocument/2006/relationships/webSettings" Target="webSettings.xml"/><Relationship Id="rId9" Type="http://schemas.openxmlformats.org/officeDocument/2006/relationships/hyperlink" Target="https://scholar.google.com/scholar_case?case=4218493624667700181&amp;q=Hodge+v.+Prince,+730+F.+Supp.+747,+751+(N.D.+Tex.+1990),+affirmed,+923+F.2d+853+(5th+Cir.+1991),+aff%E2%80%99d,+923+F.2d+853+(5th+Cir.+1991&amp;hl=en&amp;as_sdt=40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cp:lastPrinted>2016-06-14T19:05:00Z</cp:lastPrinted>
  <dcterms:created xsi:type="dcterms:W3CDTF">2016-06-14T18:58:00Z</dcterms:created>
  <dcterms:modified xsi:type="dcterms:W3CDTF">2016-06-14T19:14:00Z</dcterms:modified>
</cp:coreProperties>
</file>