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17" w:rsidRDefault="00CA6917" w:rsidP="00CA6917">
      <w:pPr>
        <w:jc w:val="both"/>
        <w:rPr>
          <w:rFonts w:ascii="Arial" w:hAnsi="Arial" w:cs="Arial"/>
          <w:color w:val="1F497D"/>
        </w:rPr>
      </w:pPr>
      <w:bookmarkStart w:id="0" w:name="_GoBack"/>
      <w:bookmarkEnd w:id="0"/>
      <w:r>
        <w:rPr>
          <w:rFonts w:ascii="Arial" w:hAnsi="Arial" w:cs="Arial"/>
          <w:color w:val="1F497D"/>
        </w:rPr>
        <w:t>Mr. Floyd</w:t>
      </w:r>
      <w:r w:rsidR="009463E1">
        <w:rPr>
          <w:rFonts w:ascii="Arial" w:hAnsi="Arial" w:cs="Arial"/>
          <w:color w:val="1F497D"/>
        </w:rPr>
        <w:t>,</w:t>
      </w:r>
    </w:p>
    <w:p w:rsidR="00CA6917" w:rsidRDefault="00CA6917" w:rsidP="00CA6917">
      <w:pPr>
        <w:jc w:val="both"/>
        <w:rPr>
          <w:rFonts w:ascii="Arial" w:hAnsi="Arial" w:cs="Arial"/>
          <w:color w:val="1F497D"/>
        </w:rPr>
      </w:pPr>
    </w:p>
    <w:p w:rsidR="003455B0" w:rsidRDefault="00CA6917" w:rsidP="00CA6917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I trust you recall your conversations and email exchange, below, </w:t>
      </w:r>
      <w:r w:rsidR="008B13E6">
        <w:rPr>
          <w:rFonts w:ascii="Arial" w:hAnsi="Arial" w:cs="Arial"/>
          <w:color w:val="1F497D"/>
        </w:rPr>
        <w:t>a little over two years</w:t>
      </w:r>
      <w:r w:rsidR="006B7A76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>with Eliot Bernstein</w:t>
      </w:r>
      <w:r w:rsidR="00977618">
        <w:rPr>
          <w:rFonts w:ascii="Arial" w:hAnsi="Arial" w:cs="Arial"/>
          <w:color w:val="1F497D"/>
        </w:rPr>
        <w:t>,</w:t>
      </w:r>
      <w:r>
        <w:rPr>
          <w:rFonts w:ascii="Arial" w:hAnsi="Arial" w:cs="Arial"/>
          <w:color w:val="1F497D"/>
        </w:rPr>
        <w:t xml:space="preserve"> the Founder of Iviewit </w:t>
      </w:r>
      <w:r w:rsidR="005E4D5E">
        <w:rPr>
          <w:rFonts w:ascii="Arial" w:hAnsi="Arial" w:cs="Arial"/>
          <w:color w:val="1F497D"/>
        </w:rPr>
        <w:t>(“Ivt/EB”)</w:t>
      </w:r>
      <w:r w:rsidR="00977618">
        <w:rPr>
          <w:rFonts w:ascii="Arial" w:hAnsi="Arial" w:cs="Arial"/>
          <w:color w:val="1F497D"/>
        </w:rPr>
        <w:t>,</w:t>
      </w:r>
      <w:r w:rsidR="005E4D5E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 xml:space="preserve">and Inventor of significant </w:t>
      </w:r>
      <w:r w:rsidR="0052576E">
        <w:rPr>
          <w:rFonts w:ascii="Arial" w:hAnsi="Arial" w:cs="Arial"/>
          <w:color w:val="1F497D"/>
        </w:rPr>
        <w:t>pivotal video streaming and imaging technology inventions</w:t>
      </w:r>
      <w:r>
        <w:rPr>
          <w:rFonts w:ascii="Arial" w:hAnsi="Arial" w:cs="Arial"/>
          <w:color w:val="1F497D"/>
        </w:rPr>
        <w:t xml:space="preserve">.  </w:t>
      </w:r>
      <w:r w:rsidR="003455B0">
        <w:rPr>
          <w:rFonts w:ascii="Arial" w:hAnsi="Arial" w:cs="Arial"/>
          <w:color w:val="1F497D"/>
        </w:rPr>
        <w:t>I also understand that</w:t>
      </w:r>
      <w:r w:rsidR="00781C9F">
        <w:rPr>
          <w:rFonts w:ascii="Arial" w:hAnsi="Arial" w:cs="Arial"/>
          <w:color w:val="1F497D"/>
        </w:rPr>
        <w:t>,</w:t>
      </w:r>
      <w:r w:rsidR="003455B0">
        <w:rPr>
          <w:rFonts w:ascii="Arial" w:hAnsi="Arial" w:cs="Arial"/>
          <w:color w:val="1F497D"/>
        </w:rPr>
        <w:t xml:space="preserve"> at that time, you had come to him seeking his help </w:t>
      </w:r>
      <w:r w:rsidR="0071596E">
        <w:rPr>
          <w:rFonts w:ascii="Arial" w:hAnsi="Arial" w:cs="Arial"/>
          <w:color w:val="1F497D"/>
        </w:rPr>
        <w:t xml:space="preserve">regarding Patent infringement claims filed against you by </w:t>
      </w:r>
      <w:r w:rsidR="00600B71">
        <w:rPr>
          <w:rFonts w:ascii="Arial" w:hAnsi="Arial" w:cs="Arial"/>
          <w:color w:val="1F497D"/>
        </w:rPr>
        <w:t>A</w:t>
      </w:r>
      <w:r w:rsidR="0071596E">
        <w:rPr>
          <w:rFonts w:ascii="Arial" w:hAnsi="Arial" w:cs="Arial"/>
          <w:color w:val="1F497D"/>
        </w:rPr>
        <w:t xml:space="preserve">ttorney at law Raymond Anthony Joao and Joao Bock </w:t>
      </w:r>
      <w:r w:rsidR="00977618">
        <w:rPr>
          <w:rFonts w:ascii="Arial" w:hAnsi="Arial" w:cs="Arial"/>
          <w:color w:val="1F497D"/>
        </w:rPr>
        <w:t>et al, LLC</w:t>
      </w:r>
      <w:r w:rsidR="0071596E">
        <w:rPr>
          <w:rFonts w:ascii="Arial" w:hAnsi="Arial" w:cs="Arial"/>
          <w:color w:val="1F497D"/>
        </w:rPr>
        <w:t>.</w:t>
      </w:r>
    </w:p>
    <w:p w:rsidR="00130260" w:rsidRDefault="00130260" w:rsidP="00CA6917">
      <w:pPr>
        <w:jc w:val="both"/>
        <w:rPr>
          <w:rFonts w:ascii="Arial" w:hAnsi="Arial" w:cs="Arial"/>
          <w:color w:val="1F497D"/>
        </w:rPr>
      </w:pPr>
    </w:p>
    <w:p w:rsidR="00C02DF0" w:rsidRDefault="0052576E" w:rsidP="00CA6917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Despite the passage of time</w:t>
      </w:r>
      <w:r w:rsidR="00B01DBA">
        <w:rPr>
          <w:rFonts w:ascii="Arial" w:hAnsi="Arial" w:cs="Arial"/>
          <w:color w:val="1F497D"/>
        </w:rPr>
        <w:t xml:space="preserve"> since then</w:t>
      </w:r>
      <w:r>
        <w:rPr>
          <w:rFonts w:ascii="Arial" w:hAnsi="Arial" w:cs="Arial"/>
          <w:color w:val="1F497D"/>
        </w:rPr>
        <w:t>, t</w:t>
      </w:r>
      <w:r w:rsidR="00CA6917">
        <w:rPr>
          <w:rFonts w:ascii="Arial" w:hAnsi="Arial" w:cs="Arial"/>
          <w:color w:val="1F497D"/>
        </w:rPr>
        <w:t>his matter has not gone away</w:t>
      </w:r>
      <w:r w:rsidR="006B7A76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 xml:space="preserve">as </w:t>
      </w:r>
      <w:r w:rsidR="00CA6917">
        <w:rPr>
          <w:rFonts w:ascii="Arial" w:hAnsi="Arial" w:cs="Arial"/>
          <w:color w:val="1F497D"/>
        </w:rPr>
        <w:t>Mr. Bernstein has been s</w:t>
      </w:r>
      <w:r w:rsidR="00781C9F">
        <w:rPr>
          <w:rFonts w:ascii="Arial" w:hAnsi="Arial" w:cs="Arial"/>
          <w:color w:val="1F497D"/>
        </w:rPr>
        <w:t xml:space="preserve">eriously </w:t>
      </w:r>
      <w:r w:rsidR="00CA6917">
        <w:rPr>
          <w:rFonts w:ascii="Arial" w:hAnsi="Arial" w:cs="Arial"/>
          <w:color w:val="1F497D"/>
        </w:rPr>
        <w:t xml:space="preserve">distracted by the </w:t>
      </w:r>
      <w:r w:rsidR="00781C9F">
        <w:rPr>
          <w:rFonts w:ascii="Arial" w:hAnsi="Arial" w:cs="Arial"/>
          <w:color w:val="1F497D"/>
        </w:rPr>
        <w:t xml:space="preserve">consecutive </w:t>
      </w:r>
      <w:r w:rsidR="00CA6917">
        <w:rPr>
          <w:rFonts w:ascii="Arial" w:hAnsi="Arial" w:cs="Arial"/>
          <w:color w:val="1F497D"/>
        </w:rPr>
        <w:t xml:space="preserve">death of both parents, </w:t>
      </w:r>
      <w:r w:rsidR="00B01DBA">
        <w:rPr>
          <w:rFonts w:ascii="Arial" w:hAnsi="Arial" w:cs="Arial"/>
          <w:color w:val="1F497D"/>
        </w:rPr>
        <w:t xml:space="preserve">compounded by </w:t>
      </w:r>
      <w:r w:rsidR="00CA6917">
        <w:rPr>
          <w:rFonts w:ascii="Arial" w:hAnsi="Arial" w:cs="Arial"/>
          <w:color w:val="1F497D"/>
        </w:rPr>
        <w:t>ongoing</w:t>
      </w:r>
      <w:r>
        <w:rPr>
          <w:rFonts w:ascii="Arial" w:hAnsi="Arial" w:cs="Arial"/>
          <w:color w:val="1F497D"/>
        </w:rPr>
        <w:t xml:space="preserve"> </w:t>
      </w:r>
      <w:r w:rsidR="00130260">
        <w:rPr>
          <w:rFonts w:ascii="Arial" w:hAnsi="Arial" w:cs="Arial"/>
          <w:color w:val="1F497D"/>
        </w:rPr>
        <w:t xml:space="preserve">extreme </w:t>
      </w:r>
      <w:r>
        <w:rPr>
          <w:rFonts w:ascii="Arial" w:hAnsi="Arial" w:cs="Arial"/>
          <w:color w:val="1F497D"/>
        </w:rPr>
        <w:t>int</w:t>
      </w:r>
      <w:r w:rsidR="00781C9F">
        <w:rPr>
          <w:rFonts w:ascii="Arial" w:hAnsi="Arial" w:cs="Arial"/>
          <w:color w:val="1F497D"/>
        </w:rPr>
        <w:t>ra</w:t>
      </w:r>
      <w:r>
        <w:rPr>
          <w:rFonts w:ascii="Arial" w:hAnsi="Arial" w:cs="Arial"/>
          <w:color w:val="1F497D"/>
        </w:rPr>
        <w:t xml:space="preserve">-family </w:t>
      </w:r>
      <w:r w:rsidR="00CA6917">
        <w:rPr>
          <w:rFonts w:ascii="Arial" w:hAnsi="Arial" w:cs="Arial"/>
          <w:color w:val="1F497D"/>
        </w:rPr>
        <w:t xml:space="preserve">Estate issues.  </w:t>
      </w:r>
      <w:r w:rsidR="008B13E6">
        <w:rPr>
          <w:rFonts w:ascii="Arial" w:hAnsi="Arial" w:cs="Arial"/>
          <w:color w:val="1F497D"/>
        </w:rPr>
        <w:t xml:space="preserve">What’s more, he has expended considerable time reviewing and analyzing the long and complicated </w:t>
      </w:r>
      <w:r w:rsidR="00130260">
        <w:rPr>
          <w:rFonts w:ascii="Arial" w:hAnsi="Arial" w:cs="Arial"/>
          <w:color w:val="1F497D"/>
        </w:rPr>
        <w:t>background</w:t>
      </w:r>
      <w:r w:rsidR="008B13E6">
        <w:rPr>
          <w:rFonts w:ascii="Arial" w:hAnsi="Arial" w:cs="Arial"/>
          <w:color w:val="1F497D"/>
        </w:rPr>
        <w:t xml:space="preserve"> that led to you prior contacts and respond to your request for Settlement.  Moreover, </w:t>
      </w:r>
      <w:r w:rsidR="00CA6917">
        <w:rPr>
          <w:rFonts w:ascii="Arial" w:hAnsi="Arial" w:cs="Arial"/>
          <w:color w:val="1F497D"/>
        </w:rPr>
        <w:t>he has concurrently s</w:t>
      </w:r>
      <w:r>
        <w:rPr>
          <w:rFonts w:ascii="Arial" w:hAnsi="Arial" w:cs="Arial"/>
          <w:color w:val="1F497D"/>
        </w:rPr>
        <w:t>trengthened h</w:t>
      </w:r>
      <w:r w:rsidR="00CA6917">
        <w:rPr>
          <w:rFonts w:ascii="Arial" w:hAnsi="Arial" w:cs="Arial"/>
          <w:color w:val="1F497D"/>
        </w:rPr>
        <w:t>is position</w:t>
      </w:r>
      <w:r w:rsidR="00C02DF0">
        <w:rPr>
          <w:rFonts w:ascii="Arial" w:hAnsi="Arial" w:cs="Arial"/>
          <w:color w:val="1F497D"/>
        </w:rPr>
        <w:t xml:space="preserve"> by </w:t>
      </w:r>
      <w:r w:rsidR="005E4D5E">
        <w:rPr>
          <w:rFonts w:ascii="Arial" w:hAnsi="Arial" w:cs="Arial"/>
          <w:color w:val="1F497D"/>
        </w:rPr>
        <w:t xml:space="preserve">continuing to evaluate ongoing and new infringements and by </w:t>
      </w:r>
      <w:r w:rsidR="00C02DF0">
        <w:rPr>
          <w:rFonts w:ascii="Arial" w:hAnsi="Arial" w:cs="Arial"/>
          <w:color w:val="1F497D"/>
        </w:rPr>
        <w:t xml:space="preserve">allowing </w:t>
      </w:r>
      <w:r w:rsidR="005E4D5E">
        <w:rPr>
          <w:rFonts w:ascii="Arial" w:hAnsi="Arial" w:cs="Arial"/>
          <w:color w:val="1F497D"/>
        </w:rPr>
        <w:t xml:space="preserve">the </w:t>
      </w:r>
      <w:r w:rsidR="00E74B4E">
        <w:rPr>
          <w:rFonts w:ascii="Arial" w:hAnsi="Arial" w:cs="Arial"/>
          <w:color w:val="1F497D"/>
        </w:rPr>
        <w:t xml:space="preserve">many </w:t>
      </w:r>
      <w:r w:rsidR="00781C9F">
        <w:rPr>
          <w:rFonts w:ascii="Arial" w:hAnsi="Arial" w:cs="Arial"/>
          <w:color w:val="1F497D"/>
        </w:rPr>
        <w:t xml:space="preserve">IP </w:t>
      </w:r>
      <w:r w:rsidR="00E74B4E">
        <w:rPr>
          <w:rFonts w:ascii="Arial" w:hAnsi="Arial" w:cs="Arial"/>
          <w:color w:val="1F497D"/>
        </w:rPr>
        <w:t>infringement</w:t>
      </w:r>
      <w:r w:rsidR="00C02DF0">
        <w:rPr>
          <w:rFonts w:ascii="Arial" w:hAnsi="Arial" w:cs="Arial"/>
          <w:color w:val="1F497D"/>
        </w:rPr>
        <w:t xml:space="preserve">, SEC and RICO violations to </w:t>
      </w:r>
      <w:r w:rsidR="005E4D5E">
        <w:rPr>
          <w:rFonts w:ascii="Arial" w:hAnsi="Arial" w:cs="Arial"/>
          <w:color w:val="1F497D"/>
        </w:rPr>
        <w:t xml:space="preserve">broaden and </w:t>
      </w:r>
      <w:r w:rsidR="00C02DF0">
        <w:rPr>
          <w:rFonts w:ascii="Arial" w:hAnsi="Arial" w:cs="Arial"/>
          <w:color w:val="1F497D"/>
        </w:rPr>
        <w:t>further ripen.</w:t>
      </w:r>
    </w:p>
    <w:p w:rsidR="00C02DF0" w:rsidRDefault="00C02DF0" w:rsidP="00CA6917">
      <w:pPr>
        <w:jc w:val="both"/>
        <w:rPr>
          <w:rFonts w:ascii="Arial" w:hAnsi="Arial" w:cs="Arial"/>
          <w:color w:val="1F497D"/>
        </w:rPr>
      </w:pPr>
    </w:p>
    <w:p w:rsidR="00F30569" w:rsidRDefault="00C02DF0" w:rsidP="00C02DF0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Correspondingly, I am the principal of RTH Associates, </w:t>
      </w:r>
      <w:r w:rsidR="00B01DBA">
        <w:rPr>
          <w:rFonts w:ascii="Arial" w:hAnsi="Arial" w:cs="Arial"/>
          <w:color w:val="1F497D"/>
        </w:rPr>
        <w:t xml:space="preserve">Inc., (“RTH”) </w:t>
      </w:r>
      <w:r>
        <w:rPr>
          <w:rFonts w:ascii="Arial" w:hAnsi="Arial" w:cs="Arial"/>
          <w:color w:val="1F497D"/>
        </w:rPr>
        <w:t xml:space="preserve">an Investment Banking Boutique, and an Attorney, based in South </w:t>
      </w:r>
      <w:proofErr w:type="gramStart"/>
      <w:r>
        <w:rPr>
          <w:rFonts w:ascii="Arial" w:hAnsi="Arial" w:cs="Arial"/>
          <w:color w:val="1F497D"/>
        </w:rPr>
        <w:t>Florida</w:t>
      </w:r>
      <w:r w:rsidR="00130260">
        <w:rPr>
          <w:rFonts w:ascii="Arial" w:hAnsi="Arial" w:cs="Arial"/>
          <w:color w:val="1F497D"/>
        </w:rPr>
        <w:t xml:space="preserve">, </w:t>
      </w:r>
      <w:r w:rsidR="00781C9F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>in</w:t>
      </w:r>
      <w:proofErr w:type="gramEnd"/>
      <w:r>
        <w:rPr>
          <w:rFonts w:ascii="Arial" w:hAnsi="Arial" w:cs="Arial"/>
          <w:color w:val="1F497D"/>
        </w:rPr>
        <w:t xml:space="preserve"> close proximity to our Client</w:t>
      </w:r>
      <w:r w:rsidR="00130260">
        <w:rPr>
          <w:rFonts w:ascii="Arial" w:hAnsi="Arial" w:cs="Arial"/>
          <w:color w:val="1F497D"/>
        </w:rPr>
        <w:t xml:space="preserve">.  </w:t>
      </w:r>
      <w:r>
        <w:rPr>
          <w:rFonts w:ascii="Arial" w:hAnsi="Arial" w:cs="Arial"/>
          <w:color w:val="1F497D"/>
        </w:rPr>
        <w:t xml:space="preserve"> </w:t>
      </w:r>
      <w:r w:rsidR="00B01DBA">
        <w:rPr>
          <w:rFonts w:ascii="Arial" w:hAnsi="Arial" w:cs="Arial"/>
          <w:color w:val="1F497D"/>
        </w:rPr>
        <w:t xml:space="preserve">Bernstein </w:t>
      </w:r>
      <w:r>
        <w:rPr>
          <w:rFonts w:ascii="Arial" w:hAnsi="Arial" w:cs="Arial"/>
          <w:color w:val="1F497D"/>
        </w:rPr>
        <w:t xml:space="preserve">has engaged us to investigate and evaluate the best means of protecting </w:t>
      </w:r>
      <w:r w:rsidR="00781C9F">
        <w:rPr>
          <w:rFonts w:ascii="Arial" w:hAnsi="Arial" w:cs="Arial"/>
          <w:color w:val="1F497D"/>
        </w:rPr>
        <w:t xml:space="preserve">his </w:t>
      </w:r>
      <w:r>
        <w:rPr>
          <w:rFonts w:ascii="Arial" w:hAnsi="Arial" w:cs="Arial"/>
          <w:color w:val="1F497D"/>
        </w:rPr>
        <w:t>Intellectual Property Portfolio by facilitating the pursuit of serious IP</w:t>
      </w:r>
      <w:r w:rsidR="00B01DBA" w:rsidRPr="00B01DBA">
        <w:rPr>
          <w:rFonts w:ascii="Arial" w:hAnsi="Arial" w:cs="Arial"/>
          <w:color w:val="1F497D"/>
        </w:rPr>
        <w:t xml:space="preserve"> </w:t>
      </w:r>
      <w:r w:rsidR="005E4D5E">
        <w:rPr>
          <w:rFonts w:ascii="Arial" w:hAnsi="Arial" w:cs="Arial"/>
          <w:color w:val="1F497D"/>
        </w:rPr>
        <w:t xml:space="preserve">infringements and violations </w:t>
      </w:r>
      <w:r>
        <w:rPr>
          <w:rFonts w:ascii="Arial" w:hAnsi="Arial" w:cs="Arial"/>
          <w:color w:val="1F497D"/>
        </w:rPr>
        <w:t>by several significant companies, including ATT</w:t>
      </w:r>
      <w:r w:rsidR="00130260">
        <w:rPr>
          <w:rFonts w:ascii="Arial" w:hAnsi="Arial" w:cs="Arial"/>
          <w:color w:val="1F497D"/>
        </w:rPr>
        <w:t>,</w:t>
      </w:r>
      <w:r w:rsidR="0071596E">
        <w:rPr>
          <w:rFonts w:ascii="Arial" w:hAnsi="Arial" w:cs="Arial"/>
          <w:color w:val="1F497D"/>
        </w:rPr>
        <w:t xml:space="preserve"> of a variety of contracts that were signed</w:t>
      </w:r>
      <w:r>
        <w:rPr>
          <w:rFonts w:ascii="Arial" w:hAnsi="Arial" w:cs="Arial"/>
          <w:color w:val="1F497D"/>
        </w:rPr>
        <w:t>.</w:t>
      </w:r>
      <w:r w:rsidRPr="0052576E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 xml:space="preserve"> </w:t>
      </w:r>
      <w:proofErr w:type="gramStart"/>
      <w:r w:rsidR="00F30569">
        <w:rPr>
          <w:rFonts w:ascii="Arial" w:hAnsi="Arial" w:cs="Arial"/>
          <w:color w:val="1F497D"/>
        </w:rPr>
        <w:t>In  that</w:t>
      </w:r>
      <w:proofErr w:type="gramEnd"/>
      <w:r w:rsidR="00F30569">
        <w:rPr>
          <w:rFonts w:ascii="Arial" w:hAnsi="Arial" w:cs="Arial"/>
          <w:color w:val="1F497D"/>
        </w:rPr>
        <w:t xml:space="preserve"> regard, Bernstein has ample evidence of the role and commitments made by former CEO, Armstrong</w:t>
      </w:r>
      <w:r w:rsidR="00130260">
        <w:rPr>
          <w:rFonts w:ascii="Arial" w:hAnsi="Arial" w:cs="Arial"/>
          <w:color w:val="1F497D"/>
        </w:rPr>
        <w:t>, as well as several others at ATT.</w:t>
      </w:r>
      <w:r w:rsidR="00F30569">
        <w:rPr>
          <w:rFonts w:ascii="Arial" w:hAnsi="Arial" w:cs="Arial"/>
          <w:color w:val="1F497D"/>
        </w:rPr>
        <w:t>.</w:t>
      </w:r>
    </w:p>
    <w:p w:rsidR="00F30569" w:rsidRDefault="00F30569" w:rsidP="00C02DF0">
      <w:pPr>
        <w:jc w:val="both"/>
        <w:rPr>
          <w:rFonts w:ascii="Arial" w:hAnsi="Arial" w:cs="Arial"/>
          <w:color w:val="1F497D"/>
        </w:rPr>
      </w:pPr>
    </w:p>
    <w:p w:rsidR="00C02DF0" w:rsidRPr="00B01DBA" w:rsidRDefault="00C02DF0" w:rsidP="00C02DF0">
      <w:pPr>
        <w:jc w:val="both"/>
        <w:rPr>
          <w:rFonts w:ascii="Arial" w:hAnsi="Arial" w:cs="Arial"/>
          <w:i/>
          <w:color w:val="1F497D"/>
        </w:rPr>
      </w:pPr>
      <w:r w:rsidRPr="005E4D5E">
        <w:rPr>
          <w:rFonts w:ascii="Arial" w:hAnsi="Arial" w:cs="Arial"/>
          <w:color w:val="1F497D"/>
        </w:rPr>
        <w:t xml:space="preserve">For the record, I also worked at Iviewit in its early stages in the early 2000’s, serving as CFO and Acting COO, and I witnessed several of those early </w:t>
      </w:r>
      <w:r w:rsidR="007C682C">
        <w:rPr>
          <w:rFonts w:ascii="Arial" w:hAnsi="Arial" w:cs="Arial"/>
          <w:color w:val="1F497D"/>
        </w:rPr>
        <w:t xml:space="preserve">undertakings </w:t>
      </w:r>
      <w:r w:rsidRPr="005E4D5E">
        <w:rPr>
          <w:rFonts w:ascii="Arial" w:hAnsi="Arial" w:cs="Arial"/>
          <w:color w:val="1F497D"/>
        </w:rPr>
        <w:t xml:space="preserve"> including the execution of NDA’s and License Agreements, all of which have been violated, leading to the current issues and opportunities</w:t>
      </w:r>
      <w:r w:rsidR="005E4D5E">
        <w:rPr>
          <w:rFonts w:ascii="Arial" w:hAnsi="Arial" w:cs="Arial"/>
          <w:color w:val="1F497D"/>
        </w:rPr>
        <w:t>.</w:t>
      </w:r>
    </w:p>
    <w:p w:rsidR="00C02DF0" w:rsidRDefault="00C02DF0" w:rsidP="00CA6917">
      <w:pPr>
        <w:jc w:val="both"/>
        <w:rPr>
          <w:rFonts w:ascii="Arial" w:hAnsi="Arial" w:cs="Arial"/>
          <w:color w:val="1F497D"/>
        </w:rPr>
      </w:pPr>
    </w:p>
    <w:p w:rsidR="00C02DF0" w:rsidRDefault="00C02DF0" w:rsidP="00C02DF0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Clearly, I am aware of several public and private companies that pursue IP monetization, and there are myriad</w:t>
      </w:r>
      <w:r w:rsidR="005E4D5E">
        <w:rPr>
          <w:rFonts w:ascii="Arial" w:hAnsi="Arial" w:cs="Arial"/>
          <w:color w:val="1F497D"/>
        </w:rPr>
        <w:t>,</w:t>
      </w:r>
      <w:r>
        <w:rPr>
          <w:rFonts w:ascii="Arial" w:hAnsi="Arial" w:cs="Arial"/>
          <w:color w:val="1F497D"/>
        </w:rPr>
        <w:t xml:space="preserve"> </w:t>
      </w:r>
      <w:r w:rsidR="005E4D5E">
        <w:rPr>
          <w:rFonts w:ascii="Arial" w:hAnsi="Arial" w:cs="Arial"/>
          <w:color w:val="1F497D"/>
        </w:rPr>
        <w:t xml:space="preserve">competent IP </w:t>
      </w:r>
      <w:r>
        <w:rPr>
          <w:rFonts w:ascii="Arial" w:hAnsi="Arial" w:cs="Arial"/>
          <w:color w:val="1F497D"/>
        </w:rPr>
        <w:t xml:space="preserve">law firms also eager to the task.  However, our assessment is that </w:t>
      </w:r>
      <w:r w:rsidR="00781C9F">
        <w:rPr>
          <w:rFonts w:ascii="Arial" w:hAnsi="Arial" w:cs="Arial"/>
          <w:color w:val="1F497D"/>
        </w:rPr>
        <w:t xml:space="preserve">we may be most opportunistic, in the good sense of that term, by engaging with </w:t>
      </w:r>
      <w:r w:rsidR="00B01DBA">
        <w:rPr>
          <w:rFonts w:ascii="Arial" w:hAnsi="Arial" w:cs="Arial"/>
          <w:color w:val="1F497D"/>
        </w:rPr>
        <w:t xml:space="preserve">a </w:t>
      </w:r>
      <w:r>
        <w:rPr>
          <w:rFonts w:ascii="Arial" w:hAnsi="Arial" w:cs="Arial"/>
          <w:color w:val="1F497D"/>
        </w:rPr>
        <w:t>proper collaborator</w:t>
      </w:r>
      <w:r w:rsidR="00781C9F">
        <w:rPr>
          <w:rFonts w:ascii="Arial" w:hAnsi="Arial" w:cs="Arial"/>
          <w:color w:val="1F497D"/>
        </w:rPr>
        <w:t xml:space="preserve">, albeit infringer – perhaps ATT - </w:t>
      </w:r>
      <w:r>
        <w:rPr>
          <w:rFonts w:ascii="Arial" w:hAnsi="Arial" w:cs="Arial"/>
          <w:color w:val="1F497D"/>
        </w:rPr>
        <w:t xml:space="preserve">where involvement </w:t>
      </w:r>
      <w:r w:rsidR="00B01DBA">
        <w:rPr>
          <w:rFonts w:ascii="Arial" w:hAnsi="Arial" w:cs="Arial"/>
          <w:color w:val="1F497D"/>
        </w:rPr>
        <w:t xml:space="preserve">for </w:t>
      </w:r>
      <w:r w:rsidR="002764FC">
        <w:rPr>
          <w:rFonts w:ascii="Arial" w:hAnsi="Arial" w:cs="Arial"/>
          <w:color w:val="1F497D"/>
        </w:rPr>
        <w:t xml:space="preserve">and with </w:t>
      </w:r>
      <w:r w:rsidR="00B01DBA">
        <w:rPr>
          <w:rFonts w:ascii="Arial" w:hAnsi="Arial" w:cs="Arial"/>
          <w:color w:val="1F497D"/>
        </w:rPr>
        <w:t xml:space="preserve">the right partner </w:t>
      </w:r>
      <w:r>
        <w:rPr>
          <w:rFonts w:ascii="Arial" w:hAnsi="Arial" w:cs="Arial"/>
          <w:color w:val="1F497D"/>
        </w:rPr>
        <w:t xml:space="preserve">could be disruptive, dramatic and constructive, while </w:t>
      </w:r>
      <w:r w:rsidR="00E74B4E">
        <w:rPr>
          <w:rFonts w:ascii="Arial" w:hAnsi="Arial" w:cs="Arial"/>
          <w:color w:val="1F497D"/>
        </w:rPr>
        <w:t xml:space="preserve">obviously </w:t>
      </w:r>
      <w:r>
        <w:rPr>
          <w:rFonts w:ascii="Arial" w:hAnsi="Arial" w:cs="Arial"/>
          <w:color w:val="1F497D"/>
        </w:rPr>
        <w:t xml:space="preserve">removing the threat of liability exposure.  Meanwhile, </w:t>
      </w:r>
      <w:r w:rsidR="00B01DBA">
        <w:rPr>
          <w:rFonts w:ascii="Arial" w:hAnsi="Arial" w:cs="Arial"/>
          <w:color w:val="1F497D"/>
        </w:rPr>
        <w:t xml:space="preserve">you and we </w:t>
      </w:r>
      <w:r>
        <w:rPr>
          <w:rFonts w:ascii="Arial" w:hAnsi="Arial" w:cs="Arial"/>
          <w:color w:val="1F497D"/>
        </w:rPr>
        <w:t xml:space="preserve">are all aware of the active quest for added technology IP, whether by Google, Face Book, M/S and others, as just a few </w:t>
      </w:r>
      <w:r w:rsidR="00781C9F">
        <w:rPr>
          <w:rFonts w:ascii="Arial" w:hAnsi="Arial" w:cs="Arial"/>
          <w:color w:val="1F497D"/>
        </w:rPr>
        <w:t xml:space="preserve">recent </w:t>
      </w:r>
      <w:r>
        <w:rPr>
          <w:rFonts w:ascii="Arial" w:hAnsi="Arial" w:cs="Arial"/>
          <w:color w:val="1F497D"/>
        </w:rPr>
        <w:t>examples.</w:t>
      </w:r>
    </w:p>
    <w:p w:rsidR="00C02DF0" w:rsidRDefault="00C02DF0" w:rsidP="00C02DF0">
      <w:pPr>
        <w:jc w:val="both"/>
        <w:rPr>
          <w:rFonts w:ascii="Arial" w:hAnsi="Arial" w:cs="Arial"/>
          <w:color w:val="1F497D"/>
        </w:rPr>
      </w:pPr>
    </w:p>
    <w:p w:rsidR="00C02DF0" w:rsidRDefault="00C02DF0" w:rsidP="00C02DF0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It is RTH’s sense, but more importantly, the Inventor’s contention, that almost all digital imaging and video hardware and software use these scaling techniques and IP, across a wide array of businesses in digital content creation and distribution.  Consequently, the markets are now ripe for enforcement and licensing opportunity with infringers, where</w:t>
      </w:r>
      <w:r w:rsidR="00485237">
        <w:rPr>
          <w:rFonts w:ascii="Arial" w:hAnsi="Arial" w:cs="Arial"/>
          <w:color w:val="1F497D"/>
        </w:rPr>
        <w:t>,</w:t>
      </w:r>
      <w:r>
        <w:rPr>
          <w:rFonts w:ascii="Arial" w:hAnsi="Arial" w:cs="Arial"/>
          <w:color w:val="1F497D"/>
        </w:rPr>
        <w:t xml:space="preserve"> for </w:t>
      </w:r>
      <w:r w:rsidR="005E4D5E">
        <w:rPr>
          <w:rFonts w:ascii="Arial" w:hAnsi="Arial" w:cs="Arial"/>
          <w:color w:val="1F497D"/>
        </w:rPr>
        <w:t xml:space="preserve">well </w:t>
      </w:r>
      <w:r>
        <w:rPr>
          <w:rFonts w:ascii="Arial" w:hAnsi="Arial" w:cs="Arial"/>
          <w:color w:val="1F497D"/>
        </w:rPr>
        <w:t>over a decade</w:t>
      </w:r>
      <w:r w:rsidR="00485237">
        <w:rPr>
          <w:rFonts w:ascii="Arial" w:hAnsi="Arial" w:cs="Arial"/>
          <w:color w:val="1F497D"/>
        </w:rPr>
        <w:t>,</w:t>
      </w:r>
      <w:r>
        <w:rPr>
          <w:rFonts w:ascii="Arial" w:hAnsi="Arial" w:cs="Arial"/>
          <w:color w:val="1F497D"/>
        </w:rPr>
        <w:t xml:space="preserve"> this IP has now been thoroughly integrated into the entire world of </w:t>
      </w:r>
      <w:r w:rsidR="00485237">
        <w:rPr>
          <w:rFonts w:ascii="Arial" w:hAnsi="Arial" w:cs="Arial"/>
          <w:color w:val="1F497D"/>
        </w:rPr>
        <w:t xml:space="preserve">digital </w:t>
      </w:r>
      <w:r>
        <w:rPr>
          <w:rFonts w:ascii="Arial" w:hAnsi="Arial" w:cs="Arial"/>
          <w:color w:val="1F497D"/>
        </w:rPr>
        <w:t xml:space="preserve">products ranging from chips, to servers, to televisions, cell phones with video, videoconference, social media, </w:t>
      </w:r>
      <w:r w:rsidR="0071596E">
        <w:rPr>
          <w:rFonts w:ascii="Arial" w:hAnsi="Arial" w:cs="Arial"/>
          <w:color w:val="1F497D"/>
        </w:rPr>
        <w:t xml:space="preserve">medical and military devices, </w:t>
      </w:r>
      <w:r>
        <w:rPr>
          <w:rFonts w:ascii="Arial" w:hAnsi="Arial" w:cs="Arial"/>
          <w:color w:val="1F497D"/>
        </w:rPr>
        <w:t>etc.</w:t>
      </w:r>
    </w:p>
    <w:p w:rsidR="00C02DF0" w:rsidRDefault="00C02DF0" w:rsidP="00CA6917">
      <w:pPr>
        <w:jc w:val="both"/>
        <w:rPr>
          <w:rFonts w:ascii="Arial" w:hAnsi="Arial" w:cs="Arial"/>
          <w:color w:val="1F497D"/>
        </w:rPr>
      </w:pPr>
    </w:p>
    <w:p w:rsidR="00C02DF0" w:rsidRDefault="00C02DF0" w:rsidP="00CA6917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I have reviewed your previous correspondence</w:t>
      </w:r>
      <w:r w:rsidR="0071596E">
        <w:rPr>
          <w:rFonts w:ascii="Arial" w:hAnsi="Arial" w:cs="Arial"/>
          <w:color w:val="1F497D"/>
        </w:rPr>
        <w:t>s</w:t>
      </w:r>
      <w:r>
        <w:rPr>
          <w:rFonts w:ascii="Arial" w:hAnsi="Arial" w:cs="Arial"/>
          <w:color w:val="1F497D"/>
        </w:rPr>
        <w:t xml:space="preserve"> with Bernstein and also discussed your extensive conversations with him, f</w:t>
      </w:r>
      <w:r w:rsidR="00030555">
        <w:rPr>
          <w:rFonts w:ascii="Arial" w:hAnsi="Arial" w:cs="Arial"/>
          <w:color w:val="1F497D"/>
        </w:rPr>
        <w:t>ro</w:t>
      </w:r>
      <w:r>
        <w:rPr>
          <w:rFonts w:ascii="Arial" w:hAnsi="Arial" w:cs="Arial"/>
          <w:color w:val="1F497D"/>
        </w:rPr>
        <w:t>m his notes</w:t>
      </w:r>
      <w:r w:rsidR="005E4D5E">
        <w:rPr>
          <w:rFonts w:ascii="Arial" w:hAnsi="Arial" w:cs="Arial"/>
          <w:color w:val="1F497D"/>
        </w:rPr>
        <w:t xml:space="preserve"> and records</w:t>
      </w:r>
      <w:r w:rsidR="00030555">
        <w:rPr>
          <w:rFonts w:ascii="Arial" w:hAnsi="Arial" w:cs="Arial"/>
          <w:color w:val="1F497D"/>
        </w:rPr>
        <w:t xml:space="preserve">.  </w:t>
      </w:r>
      <w:r w:rsidR="0086370A">
        <w:rPr>
          <w:rFonts w:ascii="Arial" w:hAnsi="Arial" w:cs="Arial"/>
          <w:color w:val="1F497D"/>
        </w:rPr>
        <w:t xml:space="preserve">I </w:t>
      </w:r>
      <w:r w:rsidR="00030555">
        <w:rPr>
          <w:rFonts w:ascii="Arial" w:hAnsi="Arial" w:cs="Arial"/>
          <w:color w:val="1F497D"/>
        </w:rPr>
        <w:t xml:space="preserve">also </w:t>
      </w:r>
      <w:r w:rsidR="0086370A">
        <w:rPr>
          <w:rFonts w:ascii="Arial" w:hAnsi="Arial" w:cs="Arial"/>
          <w:color w:val="1F497D"/>
        </w:rPr>
        <w:t xml:space="preserve">understand that by the time of your last exchange with Mr. Bernstein, you already had investigated much of this </w:t>
      </w:r>
      <w:r w:rsidR="00485237">
        <w:rPr>
          <w:rFonts w:ascii="Arial" w:hAnsi="Arial" w:cs="Arial"/>
          <w:color w:val="1F497D"/>
        </w:rPr>
        <w:t xml:space="preserve">particular </w:t>
      </w:r>
      <w:r w:rsidR="0086370A">
        <w:rPr>
          <w:rFonts w:ascii="Arial" w:hAnsi="Arial" w:cs="Arial"/>
          <w:color w:val="1F497D"/>
        </w:rPr>
        <w:t>IP history</w:t>
      </w:r>
      <w:r w:rsidR="002764FC">
        <w:rPr>
          <w:rFonts w:ascii="Arial" w:hAnsi="Arial" w:cs="Arial"/>
          <w:color w:val="1F497D"/>
        </w:rPr>
        <w:t>, and, clearly, you either already know, or can easily discern the extent to which ATT has benefitted from the use of Bernstein’s IP</w:t>
      </w:r>
      <w:r w:rsidR="0086370A">
        <w:rPr>
          <w:rFonts w:ascii="Arial" w:hAnsi="Arial" w:cs="Arial"/>
          <w:color w:val="1F497D"/>
        </w:rPr>
        <w:t xml:space="preserve">. </w:t>
      </w:r>
      <w:r w:rsidR="00C60C0D">
        <w:rPr>
          <w:rFonts w:ascii="Arial" w:hAnsi="Arial" w:cs="Arial"/>
          <w:color w:val="1F497D"/>
        </w:rPr>
        <w:t xml:space="preserve"> </w:t>
      </w:r>
      <w:r w:rsidR="0086370A">
        <w:rPr>
          <w:rFonts w:ascii="Arial" w:hAnsi="Arial" w:cs="Arial"/>
          <w:color w:val="1F497D"/>
        </w:rPr>
        <w:t>I</w:t>
      </w:r>
      <w:r>
        <w:rPr>
          <w:rFonts w:ascii="Arial" w:hAnsi="Arial" w:cs="Arial"/>
          <w:color w:val="1F497D"/>
        </w:rPr>
        <w:t xml:space="preserve"> have also seen your request [below] inviting definition of a Settlement Proposal</w:t>
      </w:r>
      <w:r w:rsidR="00C60C0D">
        <w:rPr>
          <w:rFonts w:ascii="Arial" w:hAnsi="Arial" w:cs="Arial"/>
          <w:color w:val="1F497D"/>
        </w:rPr>
        <w:t>/</w:t>
      </w:r>
      <w:r>
        <w:rPr>
          <w:rFonts w:ascii="Arial" w:hAnsi="Arial" w:cs="Arial"/>
          <w:color w:val="1F497D"/>
        </w:rPr>
        <w:t xml:space="preserve">Opportunity, and </w:t>
      </w:r>
      <w:r w:rsidR="0086370A">
        <w:rPr>
          <w:rFonts w:ascii="Arial" w:hAnsi="Arial" w:cs="Arial"/>
          <w:color w:val="1F497D"/>
        </w:rPr>
        <w:t xml:space="preserve">Mr. Bernstein </w:t>
      </w:r>
      <w:r w:rsidR="00030555">
        <w:rPr>
          <w:rFonts w:ascii="Arial" w:hAnsi="Arial" w:cs="Arial"/>
          <w:color w:val="1F497D"/>
        </w:rPr>
        <w:t xml:space="preserve">is </w:t>
      </w:r>
      <w:r w:rsidR="00CA6917">
        <w:rPr>
          <w:rFonts w:ascii="Arial" w:hAnsi="Arial" w:cs="Arial"/>
          <w:color w:val="1F497D"/>
        </w:rPr>
        <w:t xml:space="preserve">now </w:t>
      </w:r>
      <w:r w:rsidR="0086370A">
        <w:rPr>
          <w:rFonts w:ascii="Arial" w:hAnsi="Arial" w:cs="Arial"/>
          <w:color w:val="1F497D"/>
        </w:rPr>
        <w:t xml:space="preserve">prepared </w:t>
      </w:r>
      <w:r w:rsidR="00CA6917">
        <w:rPr>
          <w:rFonts w:ascii="Arial" w:hAnsi="Arial" w:cs="Arial"/>
          <w:color w:val="1F497D"/>
        </w:rPr>
        <w:t xml:space="preserve">to </w:t>
      </w:r>
      <w:r w:rsidR="00CA6917">
        <w:rPr>
          <w:rFonts w:ascii="Arial" w:hAnsi="Arial" w:cs="Arial"/>
          <w:color w:val="1F497D"/>
        </w:rPr>
        <w:lastRenderedPageBreak/>
        <w:t xml:space="preserve">proceed to </w:t>
      </w:r>
      <w:r w:rsidR="003617DE">
        <w:rPr>
          <w:rFonts w:ascii="Arial" w:hAnsi="Arial" w:cs="Arial"/>
          <w:color w:val="1F497D"/>
        </w:rPr>
        <w:t xml:space="preserve">negotiate </w:t>
      </w:r>
      <w:r w:rsidR="00CA6917">
        <w:rPr>
          <w:rFonts w:ascii="Arial" w:hAnsi="Arial" w:cs="Arial"/>
          <w:color w:val="1F497D"/>
        </w:rPr>
        <w:t>agreements and licenses</w:t>
      </w:r>
      <w:r w:rsidR="006B7A76">
        <w:rPr>
          <w:rFonts w:ascii="Arial" w:hAnsi="Arial" w:cs="Arial"/>
          <w:color w:val="1F497D"/>
        </w:rPr>
        <w:t xml:space="preserve">, </w:t>
      </w:r>
      <w:r w:rsidR="00C60C0D">
        <w:rPr>
          <w:rFonts w:ascii="Arial" w:hAnsi="Arial" w:cs="Arial"/>
          <w:color w:val="1F497D"/>
        </w:rPr>
        <w:t xml:space="preserve">including specifically and </w:t>
      </w:r>
      <w:r w:rsidR="006B7A76">
        <w:rPr>
          <w:rFonts w:ascii="Arial" w:hAnsi="Arial" w:cs="Arial"/>
          <w:color w:val="1F497D"/>
        </w:rPr>
        <w:t>strategically align</w:t>
      </w:r>
      <w:r>
        <w:rPr>
          <w:rFonts w:ascii="Arial" w:hAnsi="Arial" w:cs="Arial"/>
          <w:color w:val="1F497D"/>
        </w:rPr>
        <w:t>ing</w:t>
      </w:r>
      <w:r w:rsidR="006B7A76">
        <w:rPr>
          <w:rFonts w:ascii="Arial" w:hAnsi="Arial" w:cs="Arial"/>
          <w:color w:val="1F497D"/>
        </w:rPr>
        <w:t xml:space="preserve"> with a</w:t>
      </w:r>
      <w:r w:rsidR="00485237">
        <w:rPr>
          <w:rFonts w:ascii="Arial" w:hAnsi="Arial" w:cs="Arial"/>
          <w:color w:val="1F497D"/>
        </w:rPr>
        <w:t>n</w:t>
      </w:r>
      <w:r w:rsidR="006B7A76">
        <w:rPr>
          <w:rFonts w:ascii="Arial" w:hAnsi="Arial" w:cs="Arial"/>
          <w:color w:val="1F497D"/>
        </w:rPr>
        <w:t xml:space="preserve"> infringing party</w:t>
      </w:r>
      <w:r w:rsidR="0086370A">
        <w:rPr>
          <w:rFonts w:ascii="Arial" w:hAnsi="Arial" w:cs="Arial"/>
          <w:color w:val="1F497D"/>
        </w:rPr>
        <w:t>,</w:t>
      </w:r>
      <w:r w:rsidR="006B7A76">
        <w:rPr>
          <w:rFonts w:ascii="Arial" w:hAnsi="Arial" w:cs="Arial"/>
          <w:color w:val="1F497D"/>
        </w:rPr>
        <w:t xml:space="preserve"> </w:t>
      </w:r>
      <w:r w:rsidR="0086370A">
        <w:rPr>
          <w:rFonts w:ascii="Arial" w:hAnsi="Arial" w:cs="Arial"/>
          <w:color w:val="1F497D"/>
        </w:rPr>
        <w:t xml:space="preserve">offering </w:t>
      </w:r>
      <w:r w:rsidR="007C682C">
        <w:rPr>
          <w:rFonts w:ascii="Arial" w:hAnsi="Arial" w:cs="Arial"/>
          <w:color w:val="1F497D"/>
        </w:rPr>
        <w:t xml:space="preserve">relief </w:t>
      </w:r>
      <w:r w:rsidR="006B7A76">
        <w:rPr>
          <w:rFonts w:ascii="Arial" w:hAnsi="Arial" w:cs="Arial"/>
          <w:color w:val="1F497D"/>
        </w:rPr>
        <w:t>from</w:t>
      </w:r>
      <w:r w:rsidR="0071596E">
        <w:rPr>
          <w:rFonts w:ascii="Arial" w:hAnsi="Arial" w:cs="Arial"/>
          <w:color w:val="1F497D"/>
        </w:rPr>
        <w:t xml:space="preserve"> civil</w:t>
      </w:r>
      <w:r w:rsidR="006B7A76">
        <w:rPr>
          <w:rFonts w:ascii="Arial" w:hAnsi="Arial" w:cs="Arial"/>
          <w:color w:val="1F497D"/>
        </w:rPr>
        <w:t xml:space="preserve"> liabilit</w:t>
      </w:r>
      <w:r w:rsidR="0071596E">
        <w:rPr>
          <w:rFonts w:ascii="Arial" w:hAnsi="Arial" w:cs="Arial"/>
          <w:color w:val="1F497D"/>
        </w:rPr>
        <w:t>ies</w:t>
      </w:r>
      <w:r w:rsidR="006B7A76">
        <w:rPr>
          <w:rFonts w:ascii="Arial" w:hAnsi="Arial" w:cs="Arial"/>
          <w:color w:val="1F497D"/>
        </w:rPr>
        <w:t xml:space="preserve"> </w:t>
      </w:r>
      <w:r w:rsidR="00485237">
        <w:rPr>
          <w:rFonts w:ascii="Arial" w:hAnsi="Arial" w:cs="Arial"/>
          <w:color w:val="1F497D"/>
        </w:rPr>
        <w:t xml:space="preserve">to that party while </w:t>
      </w:r>
      <w:r w:rsidR="00030555">
        <w:rPr>
          <w:rFonts w:ascii="Arial" w:hAnsi="Arial" w:cs="Arial"/>
          <w:color w:val="1F497D"/>
        </w:rPr>
        <w:t xml:space="preserve">also </w:t>
      </w:r>
      <w:r w:rsidR="006B7A76">
        <w:rPr>
          <w:rFonts w:ascii="Arial" w:hAnsi="Arial" w:cs="Arial"/>
          <w:color w:val="1F497D"/>
        </w:rPr>
        <w:t xml:space="preserve">providing First Mover Advantage to </w:t>
      </w:r>
      <w:r>
        <w:rPr>
          <w:rFonts w:ascii="Arial" w:hAnsi="Arial" w:cs="Arial"/>
          <w:color w:val="1F497D"/>
        </w:rPr>
        <w:t xml:space="preserve">that party </w:t>
      </w:r>
      <w:r w:rsidR="00BC046B">
        <w:rPr>
          <w:rFonts w:ascii="Arial" w:hAnsi="Arial" w:cs="Arial"/>
          <w:color w:val="1F497D"/>
        </w:rPr>
        <w:t xml:space="preserve">in </w:t>
      </w:r>
      <w:r w:rsidR="006B7A76">
        <w:rPr>
          <w:rFonts w:ascii="Arial" w:hAnsi="Arial" w:cs="Arial"/>
          <w:color w:val="1F497D"/>
        </w:rPr>
        <w:t>pursu</w:t>
      </w:r>
      <w:r w:rsidR="00BC046B">
        <w:rPr>
          <w:rFonts w:ascii="Arial" w:hAnsi="Arial" w:cs="Arial"/>
          <w:color w:val="1F497D"/>
        </w:rPr>
        <w:t xml:space="preserve">ing </w:t>
      </w:r>
      <w:r w:rsidR="00485237">
        <w:rPr>
          <w:rFonts w:ascii="Arial" w:hAnsi="Arial" w:cs="Arial"/>
          <w:color w:val="1F497D"/>
        </w:rPr>
        <w:t xml:space="preserve">broader </w:t>
      </w:r>
      <w:r w:rsidR="00030555">
        <w:rPr>
          <w:rFonts w:ascii="Arial" w:hAnsi="Arial" w:cs="Arial"/>
          <w:color w:val="1F497D"/>
        </w:rPr>
        <w:t xml:space="preserve">IP </w:t>
      </w:r>
      <w:r w:rsidR="006B7A76">
        <w:rPr>
          <w:rFonts w:ascii="Arial" w:hAnsi="Arial" w:cs="Arial"/>
          <w:color w:val="1F497D"/>
        </w:rPr>
        <w:t>infringement claims, SEC violations and RICO charges</w:t>
      </w:r>
      <w:r w:rsidR="00C60C0D">
        <w:rPr>
          <w:rFonts w:ascii="Arial" w:hAnsi="Arial" w:cs="Arial"/>
          <w:color w:val="1F497D"/>
        </w:rPr>
        <w:t>,</w:t>
      </w:r>
      <w:r w:rsidR="006B7A76">
        <w:rPr>
          <w:rFonts w:ascii="Arial" w:hAnsi="Arial" w:cs="Arial"/>
          <w:color w:val="1F497D"/>
        </w:rPr>
        <w:t xml:space="preserve"> committed by </w:t>
      </w:r>
      <w:r w:rsidR="006D70B4">
        <w:rPr>
          <w:rFonts w:ascii="Arial" w:hAnsi="Arial" w:cs="Arial"/>
          <w:color w:val="1F497D"/>
        </w:rPr>
        <w:t>several significant companies</w:t>
      </w:r>
      <w:r w:rsidR="00485237">
        <w:rPr>
          <w:rFonts w:ascii="Arial" w:hAnsi="Arial" w:cs="Arial"/>
          <w:color w:val="1F497D"/>
        </w:rPr>
        <w:t xml:space="preserve"> and </w:t>
      </w:r>
      <w:r w:rsidR="0086370A">
        <w:rPr>
          <w:rFonts w:ascii="Arial" w:hAnsi="Arial" w:cs="Arial"/>
          <w:color w:val="1F497D"/>
        </w:rPr>
        <w:t>totaling $Billions</w:t>
      </w:r>
      <w:r w:rsidR="006D70B4">
        <w:rPr>
          <w:rFonts w:ascii="Arial" w:hAnsi="Arial" w:cs="Arial"/>
          <w:color w:val="1F497D"/>
        </w:rPr>
        <w:t>.</w:t>
      </w:r>
      <w:r w:rsidR="00BC046B">
        <w:rPr>
          <w:rFonts w:ascii="Arial" w:hAnsi="Arial" w:cs="Arial"/>
          <w:color w:val="1F497D"/>
        </w:rPr>
        <w:t xml:space="preserve">  </w:t>
      </w:r>
    </w:p>
    <w:p w:rsidR="00C02DF0" w:rsidRDefault="00C02DF0" w:rsidP="00CA6917">
      <w:pPr>
        <w:jc w:val="both"/>
        <w:rPr>
          <w:rFonts w:ascii="Arial" w:hAnsi="Arial" w:cs="Arial"/>
          <w:color w:val="1F497D"/>
        </w:rPr>
      </w:pPr>
    </w:p>
    <w:p w:rsidR="00030555" w:rsidRDefault="00CA6917" w:rsidP="00030555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Many companies are aware of their </w:t>
      </w:r>
      <w:r w:rsidR="00C60C0D">
        <w:rPr>
          <w:rFonts w:ascii="Arial" w:hAnsi="Arial" w:cs="Arial"/>
          <w:color w:val="1F497D"/>
        </w:rPr>
        <w:t xml:space="preserve">past and </w:t>
      </w:r>
      <w:r>
        <w:rPr>
          <w:rFonts w:ascii="Arial" w:hAnsi="Arial" w:cs="Arial"/>
          <w:color w:val="1F497D"/>
        </w:rPr>
        <w:t xml:space="preserve">current infringement of </w:t>
      </w:r>
      <w:r w:rsidR="005E4D5E">
        <w:rPr>
          <w:rFonts w:ascii="Arial" w:hAnsi="Arial" w:cs="Arial"/>
          <w:color w:val="1F497D"/>
        </w:rPr>
        <w:t xml:space="preserve">the </w:t>
      </w:r>
      <w:r w:rsidR="00A60B53">
        <w:rPr>
          <w:rFonts w:ascii="Arial" w:hAnsi="Arial" w:cs="Arial"/>
          <w:color w:val="1F497D"/>
        </w:rPr>
        <w:t>Ivt/EB</w:t>
      </w:r>
      <w:r>
        <w:rPr>
          <w:rFonts w:ascii="Arial" w:hAnsi="Arial" w:cs="Arial"/>
          <w:color w:val="1F497D"/>
        </w:rPr>
        <w:t xml:space="preserve"> inventions and their status as Defendants in the RICO</w:t>
      </w:r>
      <w:r w:rsidR="0071596E">
        <w:rPr>
          <w:rFonts w:ascii="Arial" w:hAnsi="Arial" w:cs="Arial"/>
          <w:color w:val="1F497D"/>
        </w:rPr>
        <w:t xml:space="preserve"> and ANTITRUST </w:t>
      </w:r>
      <w:r w:rsidR="00977618">
        <w:rPr>
          <w:rFonts w:ascii="Arial" w:hAnsi="Arial" w:cs="Arial"/>
          <w:color w:val="1F497D"/>
        </w:rPr>
        <w:t xml:space="preserve">actions </w:t>
      </w:r>
      <w:r w:rsidR="0071596E">
        <w:rPr>
          <w:rFonts w:ascii="Arial" w:hAnsi="Arial" w:cs="Arial"/>
          <w:color w:val="1F497D"/>
        </w:rPr>
        <w:t>he filed</w:t>
      </w:r>
      <w:r w:rsidR="00977618">
        <w:rPr>
          <w:rFonts w:ascii="Arial" w:hAnsi="Arial" w:cs="Arial"/>
          <w:color w:val="1F497D"/>
        </w:rPr>
        <w:t>.  G</w:t>
      </w:r>
      <w:r>
        <w:rPr>
          <w:rFonts w:ascii="Arial" w:hAnsi="Arial" w:cs="Arial"/>
          <w:color w:val="1F497D"/>
        </w:rPr>
        <w:t>iven that the IP can be licensed prior to final approval, while still in a “pending” phase, we predict that the time is ripe to move forward in allowing p</w:t>
      </w:r>
      <w:r w:rsidR="00C60C0D">
        <w:rPr>
          <w:rFonts w:ascii="Arial" w:hAnsi="Arial" w:cs="Arial"/>
          <w:color w:val="1F497D"/>
        </w:rPr>
        <w:t xml:space="preserve">arties </w:t>
      </w:r>
      <w:r>
        <w:rPr>
          <w:rFonts w:ascii="Arial" w:hAnsi="Arial" w:cs="Arial"/>
          <w:color w:val="1F497D"/>
        </w:rPr>
        <w:t xml:space="preserve">to settle </w:t>
      </w:r>
      <w:r w:rsidR="00C60C0D">
        <w:rPr>
          <w:rFonts w:ascii="Arial" w:hAnsi="Arial" w:cs="Arial"/>
          <w:color w:val="1F497D"/>
        </w:rPr>
        <w:t xml:space="preserve">claims of </w:t>
      </w:r>
      <w:r>
        <w:rPr>
          <w:rFonts w:ascii="Arial" w:hAnsi="Arial" w:cs="Arial"/>
          <w:color w:val="1F497D"/>
        </w:rPr>
        <w:t xml:space="preserve">their infringement with </w:t>
      </w:r>
      <w:r w:rsidR="00A60B53">
        <w:rPr>
          <w:rFonts w:ascii="Arial" w:hAnsi="Arial" w:cs="Arial"/>
          <w:color w:val="1F497D"/>
        </w:rPr>
        <w:t>Ivt/EB</w:t>
      </w:r>
      <w:r>
        <w:rPr>
          <w:rFonts w:ascii="Arial" w:hAnsi="Arial" w:cs="Arial"/>
          <w:color w:val="1F497D"/>
        </w:rPr>
        <w:t xml:space="preserve"> and remove themselves from the </w:t>
      </w:r>
      <w:r w:rsidR="00C60C0D">
        <w:rPr>
          <w:rFonts w:ascii="Arial" w:hAnsi="Arial" w:cs="Arial"/>
          <w:color w:val="1F497D"/>
        </w:rPr>
        <w:t>Bernstein/</w:t>
      </w:r>
      <w:r>
        <w:rPr>
          <w:rFonts w:ascii="Arial" w:hAnsi="Arial" w:cs="Arial"/>
          <w:color w:val="1F497D"/>
        </w:rPr>
        <w:t>Iviewit RICO and other actions and potential criminal liabilities, in exchange for a fair and reasonable license fee</w:t>
      </w:r>
      <w:r w:rsidR="003617DE">
        <w:rPr>
          <w:rFonts w:ascii="Arial" w:hAnsi="Arial" w:cs="Arial"/>
          <w:color w:val="1F497D"/>
        </w:rPr>
        <w:t>,</w:t>
      </w:r>
      <w:r>
        <w:rPr>
          <w:rFonts w:ascii="Arial" w:hAnsi="Arial" w:cs="Arial"/>
          <w:color w:val="1F497D"/>
        </w:rPr>
        <w:t xml:space="preserve"> </w:t>
      </w:r>
      <w:r w:rsidR="005B2819">
        <w:rPr>
          <w:rFonts w:ascii="Arial" w:hAnsi="Arial" w:cs="Arial"/>
          <w:color w:val="1F497D"/>
        </w:rPr>
        <w:t xml:space="preserve">both </w:t>
      </w:r>
      <w:r>
        <w:rPr>
          <w:rFonts w:ascii="Arial" w:hAnsi="Arial" w:cs="Arial"/>
          <w:color w:val="1F497D"/>
        </w:rPr>
        <w:t>for past usage and going</w:t>
      </w:r>
      <w:r w:rsidR="00030555">
        <w:rPr>
          <w:rFonts w:ascii="Arial" w:hAnsi="Arial" w:cs="Arial"/>
          <w:color w:val="1F497D"/>
        </w:rPr>
        <w:t>-</w:t>
      </w:r>
      <w:r>
        <w:rPr>
          <w:rFonts w:ascii="Arial" w:hAnsi="Arial" w:cs="Arial"/>
          <w:color w:val="1F497D"/>
        </w:rPr>
        <w:t>forward use.</w:t>
      </w:r>
      <w:r w:rsidR="00030555" w:rsidRPr="00030555">
        <w:rPr>
          <w:rFonts w:ascii="Arial" w:hAnsi="Arial" w:cs="Arial"/>
          <w:color w:val="1F497D"/>
        </w:rPr>
        <w:t xml:space="preserve"> </w:t>
      </w:r>
      <w:r w:rsidR="00030555">
        <w:rPr>
          <w:rFonts w:ascii="Arial" w:hAnsi="Arial" w:cs="Arial"/>
          <w:color w:val="1F497D"/>
        </w:rPr>
        <w:t xml:space="preserve"> </w:t>
      </w:r>
      <w:r w:rsidR="00C60C0D">
        <w:rPr>
          <w:rFonts w:ascii="Arial" w:hAnsi="Arial" w:cs="Arial"/>
          <w:color w:val="1F497D"/>
        </w:rPr>
        <w:t>As you likely also know, t</w:t>
      </w:r>
      <w:r w:rsidR="00030555">
        <w:rPr>
          <w:rFonts w:ascii="Arial" w:hAnsi="Arial" w:cs="Arial"/>
          <w:color w:val="1F497D"/>
        </w:rPr>
        <w:t xml:space="preserve">he Pending Intellectual Properties are under “suspension” by the USPTO as a result of </w:t>
      </w:r>
      <w:r w:rsidR="007C682C">
        <w:rPr>
          <w:rFonts w:ascii="Arial" w:hAnsi="Arial" w:cs="Arial"/>
          <w:color w:val="1F497D"/>
        </w:rPr>
        <w:t xml:space="preserve">perceived </w:t>
      </w:r>
      <w:r w:rsidR="0071596E">
        <w:rPr>
          <w:rFonts w:ascii="Arial" w:hAnsi="Arial" w:cs="Arial"/>
          <w:color w:val="1F497D"/>
        </w:rPr>
        <w:t xml:space="preserve">alleged </w:t>
      </w:r>
      <w:r w:rsidR="00030555">
        <w:rPr>
          <w:rFonts w:ascii="Arial" w:hAnsi="Arial" w:cs="Arial"/>
          <w:color w:val="1F497D"/>
        </w:rPr>
        <w:t xml:space="preserve">fraud upon that Office by others who attempted to pirate and pursue this IP.  </w:t>
      </w:r>
      <w:r w:rsidR="00C4194B">
        <w:rPr>
          <w:rFonts w:ascii="Arial" w:hAnsi="Arial" w:cs="Arial"/>
          <w:color w:val="1F497D"/>
        </w:rPr>
        <w:t xml:space="preserve"> </w:t>
      </w:r>
      <w:r w:rsidR="00030555">
        <w:rPr>
          <w:rFonts w:ascii="Arial" w:hAnsi="Arial" w:cs="Arial"/>
          <w:color w:val="1F497D"/>
        </w:rPr>
        <w:t xml:space="preserve">We are acutely aware that Intellectual Properties do not need to be </w:t>
      </w:r>
      <w:r w:rsidR="00C4194B">
        <w:rPr>
          <w:rFonts w:ascii="Arial" w:hAnsi="Arial" w:cs="Arial"/>
          <w:color w:val="1F497D"/>
        </w:rPr>
        <w:t xml:space="preserve">in the form of issued Patents </w:t>
      </w:r>
      <w:r w:rsidR="00030555">
        <w:rPr>
          <w:rFonts w:ascii="Arial" w:hAnsi="Arial" w:cs="Arial"/>
          <w:color w:val="1F497D"/>
        </w:rPr>
        <w:t>to pursue our claims.</w:t>
      </w:r>
    </w:p>
    <w:p w:rsidR="0075451F" w:rsidRDefault="0075451F" w:rsidP="00030555">
      <w:pPr>
        <w:jc w:val="both"/>
        <w:rPr>
          <w:rFonts w:ascii="Arial" w:hAnsi="Arial" w:cs="Arial"/>
          <w:color w:val="1F497D"/>
        </w:rPr>
      </w:pPr>
    </w:p>
    <w:p w:rsidR="0075451F" w:rsidRDefault="0075451F" w:rsidP="0075451F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ATT has been using the Iviewit inventions see </w:t>
      </w:r>
      <w:hyperlink r:id="rId5" w:history="1">
        <w:r w:rsidRPr="00883792">
          <w:rPr>
            <w:rStyle w:val="Hyperlink"/>
            <w:rFonts w:ascii="Arial" w:hAnsi="Arial" w:cs="Arial"/>
          </w:rPr>
          <w:t>http://iviewit.tv/CompanyDocs/Appendix%20A/</w:t>
        </w:r>
      </w:hyperlink>
      <w:r>
        <w:rPr>
          <w:rFonts w:ascii="Arial" w:hAnsi="Arial" w:cs="Arial"/>
          <w:color w:val="1F497D" w:themeColor="text2"/>
        </w:rPr>
        <w:t xml:space="preserve">, numbers 24-37 of Contract Violators for well more than  a decade now and it has profited AT&amp;T in billions of dollars annually and helped your companies penetrate new markets.  We are proud to have helped AT&amp;T reach new, unprecedented levels of profit from them and look forward to working towards an amicable settlement in response to your earlier request. </w:t>
      </w:r>
    </w:p>
    <w:p w:rsidR="0075451F" w:rsidRDefault="0075451F" w:rsidP="00030555">
      <w:pPr>
        <w:jc w:val="both"/>
        <w:rPr>
          <w:rFonts w:ascii="Arial" w:hAnsi="Arial" w:cs="Arial"/>
          <w:color w:val="1F497D"/>
        </w:rPr>
      </w:pPr>
    </w:p>
    <w:p w:rsidR="00CA6917" w:rsidRDefault="00030555" w:rsidP="00CA6917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As indicated, o</w:t>
      </w:r>
      <w:r w:rsidR="00CA6917">
        <w:rPr>
          <w:rFonts w:ascii="Arial" w:hAnsi="Arial" w:cs="Arial"/>
          <w:color w:val="1F497D"/>
        </w:rPr>
        <w:t xml:space="preserve">ur current business strategy is </w:t>
      </w:r>
      <w:r w:rsidR="003B60AE">
        <w:rPr>
          <w:rFonts w:ascii="Arial" w:hAnsi="Arial" w:cs="Arial"/>
          <w:color w:val="1F497D"/>
        </w:rPr>
        <w:t>to explore partnering with a lead licensee who would .</w:t>
      </w:r>
      <w:r w:rsidR="00CA6917">
        <w:rPr>
          <w:rFonts w:ascii="Arial" w:hAnsi="Arial" w:cs="Arial"/>
          <w:color w:val="1F497D"/>
        </w:rPr>
        <w:t xml:space="preserve">pursue all International Patent, Copyright, Trademark and Trade Secrets claims of </w:t>
      </w:r>
      <w:r w:rsidR="00A60B53">
        <w:rPr>
          <w:rFonts w:ascii="Arial" w:hAnsi="Arial" w:cs="Arial"/>
          <w:color w:val="1F497D"/>
        </w:rPr>
        <w:t>Ivt/EB</w:t>
      </w:r>
      <w:r w:rsidR="00CA6917">
        <w:rPr>
          <w:rFonts w:ascii="Arial" w:hAnsi="Arial" w:cs="Arial"/>
          <w:color w:val="1F497D"/>
        </w:rPr>
        <w:t xml:space="preserve">. </w:t>
      </w:r>
      <w:r w:rsidR="005E4D5E">
        <w:rPr>
          <w:rFonts w:ascii="Arial" w:hAnsi="Arial" w:cs="Arial"/>
          <w:color w:val="1F497D"/>
        </w:rPr>
        <w:t xml:space="preserve"> </w:t>
      </w:r>
      <w:r w:rsidR="00CA6917">
        <w:rPr>
          <w:rFonts w:ascii="Arial" w:hAnsi="Arial" w:cs="Arial"/>
          <w:color w:val="1F497D"/>
        </w:rPr>
        <w:t xml:space="preserve">In taking this approach, we would apprise you that there is a significant body of Non-Disclosure Agreements, Licensing Agreements and other contracts - approximately 200+ - with leading Fortune 500 and 1000 companies, signed between major companies and Iviewit and EB that can </w:t>
      </w:r>
      <w:r w:rsidR="00CA49F4">
        <w:rPr>
          <w:rFonts w:ascii="Arial" w:hAnsi="Arial" w:cs="Arial"/>
          <w:color w:val="1F497D"/>
        </w:rPr>
        <w:t xml:space="preserve">be </w:t>
      </w:r>
      <w:r w:rsidR="00CA6917">
        <w:rPr>
          <w:rFonts w:ascii="Arial" w:hAnsi="Arial" w:cs="Arial"/>
          <w:color w:val="1F497D"/>
        </w:rPr>
        <w:t>leveraged.</w:t>
      </w:r>
    </w:p>
    <w:p w:rsidR="00CA6917" w:rsidRDefault="00CA6917" w:rsidP="00CA6917">
      <w:pPr>
        <w:jc w:val="both"/>
        <w:rPr>
          <w:rFonts w:ascii="Arial" w:hAnsi="Arial" w:cs="Arial"/>
          <w:color w:val="1F497D"/>
        </w:rPr>
      </w:pPr>
    </w:p>
    <w:p w:rsidR="00CA6917" w:rsidRDefault="003B60AE" w:rsidP="00CA6917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If ATT would be a suitable partner, while dropping a claim for a significant percentage of the company as </w:t>
      </w:r>
      <w:r w:rsidR="005E4D5E">
        <w:rPr>
          <w:rFonts w:ascii="Arial" w:hAnsi="Arial" w:cs="Arial"/>
          <w:color w:val="1F497D"/>
        </w:rPr>
        <w:t xml:space="preserve">Mr. Bernstein </w:t>
      </w:r>
      <w:r>
        <w:rPr>
          <w:rFonts w:ascii="Arial" w:hAnsi="Arial" w:cs="Arial"/>
          <w:color w:val="1F497D"/>
        </w:rPr>
        <w:t>proposed in the past</w:t>
      </w:r>
      <w:r w:rsidR="00C4194B">
        <w:rPr>
          <w:rFonts w:ascii="Arial" w:hAnsi="Arial" w:cs="Arial"/>
          <w:color w:val="1F497D"/>
        </w:rPr>
        <w:t xml:space="preserve"> [he actually was serious!]</w:t>
      </w:r>
      <w:r>
        <w:rPr>
          <w:rFonts w:ascii="Arial" w:hAnsi="Arial" w:cs="Arial"/>
          <w:color w:val="1F497D"/>
        </w:rPr>
        <w:t xml:space="preserve">, we would be </w:t>
      </w:r>
      <w:r w:rsidR="00CA6917">
        <w:rPr>
          <w:rFonts w:ascii="Arial" w:hAnsi="Arial" w:cs="Arial"/>
          <w:color w:val="1F497D"/>
        </w:rPr>
        <w:t xml:space="preserve">seeking license fees, </w:t>
      </w:r>
      <w:r>
        <w:rPr>
          <w:rFonts w:ascii="Arial" w:hAnsi="Arial" w:cs="Arial"/>
          <w:color w:val="1F497D"/>
        </w:rPr>
        <w:t>in the $100’s m</w:t>
      </w:r>
      <w:r w:rsidR="00CA6917">
        <w:rPr>
          <w:rFonts w:ascii="Arial" w:hAnsi="Arial" w:cs="Arial"/>
          <w:color w:val="1F497D"/>
        </w:rPr>
        <w:t>illion</w:t>
      </w:r>
      <w:r>
        <w:rPr>
          <w:rFonts w:ascii="Arial" w:hAnsi="Arial" w:cs="Arial"/>
          <w:color w:val="1F497D"/>
        </w:rPr>
        <w:t>s</w:t>
      </w:r>
      <w:r w:rsidR="00CA6917">
        <w:rPr>
          <w:rFonts w:ascii="Arial" w:hAnsi="Arial" w:cs="Arial"/>
          <w:color w:val="1F497D"/>
        </w:rPr>
        <w:t xml:space="preserve">, </w:t>
      </w:r>
      <w:r w:rsidR="0039153B">
        <w:rPr>
          <w:rFonts w:ascii="Arial" w:hAnsi="Arial" w:cs="Arial"/>
          <w:color w:val="1F497D"/>
        </w:rPr>
        <w:t xml:space="preserve">enabling </w:t>
      </w:r>
      <w:r w:rsidR="00CA49F4">
        <w:rPr>
          <w:rFonts w:ascii="Arial" w:hAnsi="Arial" w:cs="Arial"/>
          <w:color w:val="1F497D"/>
        </w:rPr>
        <w:t xml:space="preserve">ATT, as </w:t>
      </w:r>
      <w:r w:rsidR="0039153B">
        <w:rPr>
          <w:rFonts w:ascii="Arial" w:hAnsi="Arial" w:cs="Arial"/>
          <w:color w:val="1F497D"/>
        </w:rPr>
        <w:t xml:space="preserve">lead licensee to pursue </w:t>
      </w:r>
      <w:r w:rsidR="00CA6917">
        <w:rPr>
          <w:rFonts w:ascii="Arial" w:hAnsi="Arial" w:cs="Arial"/>
          <w:color w:val="1F497D"/>
        </w:rPr>
        <w:t xml:space="preserve">the prior 10+ years of past infringement, plus appropriate annual licensing fees going forward.  Given that these technologies are and have generated extraordinary revenue for these companies for </w:t>
      </w:r>
      <w:r w:rsidR="005E4D5E">
        <w:rPr>
          <w:rFonts w:ascii="Arial" w:hAnsi="Arial" w:cs="Arial"/>
          <w:color w:val="1F497D"/>
        </w:rPr>
        <w:t xml:space="preserve">this lengthy period which actually reaches back as far as 14 years, </w:t>
      </w:r>
      <w:r w:rsidR="00CA6917">
        <w:rPr>
          <w:rFonts w:ascii="Arial" w:hAnsi="Arial" w:cs="Arial"/>
          <w:color w:val="1F497D"/>
        </w:rPr>
        <w:t>this is a very rational and actuarially sound settlement offer to mitigate and avoid potentially crippling liabilities, both civilly and criminally.</w:t>
      </w:r>
      <w:r w:rsidR="00030555">
        <w:rPr>
          <w:rFonts w:ascii="Arial" w:hAnsi="Arial" w:cs="Arial"/>
          <w:color w:val="1F497D"/>
        </w:rPr>
        <w:t xml:space="preserve">  </w:t>
      </w:r>
      <w:r w:rsidR="00C60C0D">
        <w:rPr>
          <w:rFonts w:ascii="Arial" w:hAnsi="Arial" w:cs="Arial"/>
          <w:color w:val="1F497D"/>
        </w:rPr>
        <w:t xml:space="preserve">However, ATT may not wish such a comprehensive and active role in the IP, in which case </w:t>
      </w:r>
      <w:r w:rsidR="00030555">
        <w:rPr>
          <w:rFonts w:ascii="Arial" w:hAnsi="Arial" w:cs="Arial"/>
          <w:color w:val="1F497D"/>
        </w:rPr>
        <w:t xml:space="preserve">we are </w:t>
      </w:r>
      <w:r w:rsidR="00C60C0D">
        <w:rPr>
          <w:rFonts w:ascii="Arial" w:hAnsi="Arial" w:cs="Arial"/>
          <w:color w:val="1F497D"/>
        </w:rPr>
        <w:t xml:space="preserve">also </w:t>
      </w:r>
      <w:r w:rsidR="00030555">
        <w:rPr>
          <w:rFonts w:ascii="Arial" w:hAnsi="Arial" w:cs="Arial"/>
          <w:color w:val="1F497D"/>
        </w:rPr>
        <w:t>prepared to suggest a Settlement</w:t>
      </w:r>
      <w:r w:rsidR="00AF0640">
        <w:rPr>
          <w:rFonts w:ascii="Arial" w:hAnsi="Arial" w:cs="Arial"/>
          <w:color w:val="1F497D"/>
        </w:rPr>
        <w:t xml:space="preserve"> by offering three alternative structures</w:t>
      </w:r>
      <w:r w:rsidR="005B2819">
        <w:rPr>
          <w:rFonts w:ascii="Arial" w:hAnsi="Arial" w:cs="Arial"/>
          <w:color w:val="1F497D"/>
        </w:rPr>
        <w:t>,</w:t>
      </w:r>
      <w:r w:rsidR="00130260">
        <w:rPr>
          <w:rFonts w:ascii="Arial" w:hAnsi="Arial" w:cs="Arial"/>
          <w:color w:val="1F497D"/>
        </w:rPr>
        <w:t xml:space="preserve"> while </w:t>
      </w:r>
      <w:r w:rsidR="007C682C">
        <w:rPr>
          <w:rFonts w:ascii="Arial" w:hAnsi="Arial" w:cs="Arial"/>
          <w:color w:val="1F497D"/>
        </w:rPr>
        <w:t xml:space="preserve">one Option moderates </w:t>
      </w:r>
      <w:r w:rsidR="005B2819">
        <w:rPr>
          <w:rFonts w:ascii="Arial" w:hAnsi="Arial" w:cs="Arial"/>
          <w:color w:val="1F497D"/>
        </w:rPr>
        <w:t xml:space="preserve">Mr. </w:t>
      </w:r>
      <w:r w:rsidR="00F30569">
        <w:rPr>
          <w:rFonts w:ascii="Arial" w:hAnsi="Arial" w:cs="Arial"/>
          <w:color w:val="1F497D"/>
        </w:rPr>
        <w:t>Bernstein’s</w:t>
      </w:r>
      <w:r w:rsidR="005B2819">
        <w:rPr>
          <w:rFonts w:ascii="Arial" w:hAnsi="Arial" w:cs="Arial"/>
          <w:color w:val="1F497D"/>
        </w:rPr>
        <w:t xml:space="preserve"> claim for a significant Equity Stake in ATT</w:t>
      </w:r>
      <w:r w:rsidR="00030555">
        <w:rPr>
          <w:rFonts w:ascii="Arial" w:hAnsi="Arial" w:cs="Arial"/>
          <w:color w:val="1F497D"/>
        </w:rPr>
        <w:t>:</w:t>
      </w:r>
    </w:p>
    <w:p w:rsidR="00030555" w:rsidRDefault="00030555" w:rsidP="00CA6917">
      <w:pPr>
        <w:jc w:val="both"/>
        <w:rPr>
          <w:rFonts w:ascii="Arial" w:hAnsi="Arial" w:cs="Arial"/>
          <w:color w:val="1F497D"/>
        </w:rPr>
      </w:pPr>
    </w:p>
    <w:p w:rsidR="00C60C0D" w:rsidRPr="00781441" w:rsidRDefault="00AF0640" w:rsidP="00AF0640">
      <w:pPr>
        <w:rPr>
          <w:rFonts w:ascii="Arial" w:hAnsi="Arial" w:cs="Arial"/>
          <w:b/>
          <w:color w:val="1F497D" w:themeColor="text2"/>
        </w:rPr>
      </w:pPr>
      <w:r w:rsidRPr="00781441">
        <w:rPr>
          <w:rFonts w:ascii="Arial" w:hAnsi="Arial" w:cs="Arial"/>
          <w:b/>
          <w:color w:val="1F497D" w:themeColor="text2"/>
        </w:rPr>
        <w:t>Option 1</w:t>
      </w:r>
      <w:r w:rsidRPr="00781441">
        <w:rPr>
          <w:rFonts w:ascii="Arial" w:hAnsi="Arial" w:cs="Arial"/>
          <w:color w:val="1F497D" w:themeColor="text2"/>
        </w:rPr>
        <w:t xml:space="preserve"> – </w:t>
      </w:r>
      <w:r w:rsidR="00C361EC" w:rsidRPr="00781441">
        <w:rPr>
          <w:rFonts w:ascii="Arial" w:hAnsi="Arial" w:cs="Arial"/>
          <w:b/>
          <w:color w:val="1F497D" w:themeColor="text2"/>
        </w:rPr>
        <w:t>Specific Infringement Settlement</w:t>
      </w:r>
    </w:p>
    <w:p w:rsidR="00C60C0D" w:rsidRPr="00781441" w:rsidRDefault="00C60C0D" w:rsidP="00AF0640">
      <w:pPr>
        <w:rPr>
          <w:rFonts w:ascii="Arial" w:hAnsi="Arial" w:cs="Arial"/>
          <w:color w:val="1F497D" w:themeColor="text2"/>
        </w:rPr>
      </w:pPr>
    </w:p>
    <w:p w:rsidR="00C60C0D" w:rsidRPr="00781441" w:rsidRDefault="00617B0C" w:rsidP="00C60C0D">
      <w:pPr>
        <w:pStyle w:val="ListParagraph"/>
        <w:numPr>
          <w:ilvl w:val="0"/>
          <w:numId w:val="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>$</w:t>
      </w:r>
      <w:r w:rsidR="00AF0640" w:rsidRPr="00781441">
        <w:rPr>
          <w:rFonts w:ascii="Arial" w:hAnsi="Arial" w:cs="Arial"/>
          <w:color w:val="1F497D" w:themeColor="text2"/>
        </w:rPr>
        <w:t xml:space="preserve">200 Million, non-negotiable, for past use, </w:t>
      </w:r>
      <w:r w:rsidRPr="00781441">
        <w:rPr>
          <w:rFonts w:ascii="Arial" w:hAnsi="Arial" w:cs="Arial"/>
          <w:color w:val="1F497D" w:themeColor="text2"/>
        </w:rPr>
        <w:t>plus $</w:t>
      </w:r>
      <w:r w:rsidR="00AF0640" w:rsidRPr="00781441">
        <w:rPr>
          <w:rFonts w:ascii="Arial" w:hAnsi="Arial" w:cs="Arial"/>
          <w:color w:val="1F497D" w:themeColor="text2"/>
        </w:rPr>
        <w:t>20M yearly going forward as long as th</w:t>
      </w:r>
      <w:r w:rsidR="00C60C0D" w:rsidRPr="00781441">
        <w:rPr>
          <w:rFonts w:ascii="Arial" w:hAnsi="Arial" w:cs="Arial"/>
          <w:color w:val="1F497D" w:themeColor="text2"/>
        </w:rPr>
        <w:t>is IP remains in use</w:t>
      </w:r>
      <w:r w:rsidR="00AF0640" w:rsidRPr="00781441">
        <w:rPr>
          <w:rFonts w:ascii="Arial" w:hAnsi="Arial" w:cs="Arial"/>
          <w:color w:val="1F497D" w:themeColor="text2"/>
        </w:rPr>
        <w:t xml:space="preserve">.  </w:t>
      </w:r>
    </w:p>
    <w:p w:rsidR="00C60C0D" w:rsidRPr="00781441" w:rsidRDefault="00AF0640" w:rsidP="00C60C0D">
      <w:pPr>
        <w:pStyle w:val="ListParagraph"/>
        <w:numPr>
          <w:ilvl w:val="0"/>
          <w:numId w:val="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ATT would </w:t>
      </w:r>
      <w:r w:rsidR="00C60C0D" w:rsidRPr="00781441">
        <w:rPr>
          <w:rFonts w:ascii="Arial" w:hAnsi="Arial" w:cs="Arial"/>
          <w:color w:val="1F497D" w:themeColor="text2"/>
        </w:rPr>
        <w:t>receive or rea</w:t>
      </w:r>
      <w:r w:rsidR="00C361EC" w:rsidRPr="00781441">
        <w:rPr>
          <w:rFonts w:ascii="Arial" w:hAnsi="Arial" w:cs="Arial"/>
          <w:color w:val="1F497D" w:themeColor="text2"/>
        </w:rPr>
        <w:t>l</w:t>
      </w:r>
      <w:r w:rsidR="00C60C0D" w:rsidRPr="00781441">
        <w:rPr>
          <w:rFonts w:ascii="Arial" w:hAnsi="Arial" w:cs="Arial"/>
          <w:color w:val="1F497D" w:themeColor="text2"/>
        </w:rPr>
        <w:t>ize:</w:t>
      </w:r>
    </w:p>
    <w:p w:rsidR="00AF0640" w:rsidRPr="00781441" w:rsidRDefault="00AF0640" w:rsidP="00C60C0D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>Release from Liabilities</w:t>
      </w:r>
    </w:p>
    <w:p w:rsidR="00AF0640" w:rsidRPr="00781441" w:rsidRDefault="00AF0640" w:rsidP="00C361EC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Lawsuit Liabilities – Removal from RICO - Portion of 1 </w:t>
      </w:r>
      <w:r w:rsidR="00C361EC" w:rsidRPr="00781441">
        <w:rPr>
          <w:rFonts w:ascii="Arial" w:hAnsi="Arial" w:cs="Arial"/>
          <w:color w:val="1F497D" w:themeColor="text2"/>
        </w:rPr>
        <w:t>$</w:t>
      </w:r>
      <w:r w:rsidRPr="00781441">
        <w:rPr>
          <w:rFonts w:ascii="Arial" w:hAnsi="Arial" w:cs="Arial"/>
          <w:color w:val="1F497D" w:themeColor="text2"/>
        </w:rPr>
        <w:t>Trillion total RICO removed from liabilities of ATT</w:t>
      </w:r>
      <w:r w:rsidR="00C361EC" w:rsidRPr="00781441">
        <w:rPr>
          <w:rFonts w:ascii="Arial" w:hAnsi="Arial" w:cs="Arial"/>
          <w:color w:val="1F497D" w:themeColor="text2"/>
        </w:rPr>
        <w:t xml:space="preserve">, including the role of </w:t>
      </w:r>
      <w:r w:rsidR="00781441">
        <w:rPr>
          <w:rFonts w:ascii="Arial" w:hAnsi="Arial" w:cs="Arial"/>
          <w:color w:val="1F497D" w:themeColor="text2"/>
        </w:rPr>
        <w:t xml:space="preserve">former CEO </w:t>
      </w:r>
      <w:r w:rsidR="00C361EC" w:rsidRPr="00781441">
        <w:rPr>
          <w:rFonts w:ascii="Arial" w:hAnsi="Arial" w:cs="Arial"/>
          <w:color w:val="1F497D" w:themeColor="text2"/>
        </w:rPr>
        <w:t>Michael Armstrong in this history and timeline.</w:t>
      </w:r>
    </w:p>
    <w:p w:rsidR="00AF0640" w:rsidRPr="00781441" w:rsidRDefault="00AF0640" w:rsidP="00C361EC">
      <w:pPr>
        <w:pStyle w:val="ListParagraph"/>
        <w:numPr>
          <w:ilvl w:val="2"/>
          <w:numId w:val="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lastRenderedPageBreak/>
        <w:t xml:space="preserve">License Liabilities – 14 years of past royalties </w:t>
      </w:r>
      <w:r w:rsidR="00C361EC" w:rsidRPr="00781441">
        <w:rPr>
          <w:rFonts w:ascii="Arial" w:hAnsi="Arial" w:cs="Arial"/>
          <w:color w:val="1F497D" w:themeColor="text2"/>
        </w:rPr>
        <w:t xml:space="preserve">[initial provisional apps were filed </w:t>
      </w:r>
      <w:r w:rsidR="00945C94" w:rsidRPr="00781441">
        <w:rPr>
          <w:rFonts w:ascii="Arial" w:hAnsi="Arial" w:cs="Arial"/>
          <w:color w:val="1F497D" w:themeColor="text2"/>
        </w:rPr>
        <w:t>‘</w:t>
      </w:r>
      <w:r w:rsidR="00C361EC" w:rsidRPr="00781441">
        <w:rPr>
          <w:rFonts w:ascii="Arial" w:hAnsi="Arial" w:cs="Arial"/>
          <w:color w:val="1F497D" w:themeColor="text2"/>
        </w:rPr>
        <w:t>98-</w:t>
      </w:r>
      <w:r w:rsidR="00945C94" w:rsidRPr="00781441">
        <w:rPr>
          <w:rFonts w:ascii="Arial" w:hAnsi="Arial" w:cs="Arial"/>
          <w:color w:val="1F497D" w:themeColor="text2"/>
        </w:rPr>
        <w:t>‘</w:t>
      </w:r>
      <w:r w:rsidR="00C361EC" w:rsidRPr="00781441">
        <w:rPr>
          <w:rFonts w:ascii="Arial" w:hAnsi="Arial" w:cs="Arial"/>
          <w:color w:val="1F497D" w:themeColor="text2"/>
        </w:rPr>
        <w:t>99]</w:t>
      </w:r>
      <w:r w:rsidR="007320E5" w:rsidRPr="00781441">
        <w:rPr>
          <w:rFonts w:ascii="Arial" w:hAnsi="Arial" w:cs="Arial"/>
          <w:color w:val="1F497D" w:themeColor="text2"/>
        </w:rPr>
        <w:t xml:space="preserve"> </w:t>
      </w:r>
      <w:r w:rsidRPr="00781441">
        <w:rPr>
          <w:rFonts w:ascii="Arial" w:hAnsi="Arial" w:cs="Arial"/>
          <w:color w:val="1F497D" w:themeColor="text2"/>
        </w:rPr>
        <w:t xml:space="preserve">due across relevant product lines will be settled in full.  </w:t>
      </w:r>
    </w:p>
    <w:p w:rsidR="00AF0640" w:rsidRPr="00781441" w:rsidRDefault="007C682C" w:rsidP="00C361EC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Civil </w:t>
      </w:r>
      <w:r w:rsidR="00AF0640" w:rsidRPr="00781441">
        <w:rPr>
          <w:rFonts w:ascii="Arial" w:hAnsi="Arial" w:cs="Arial"/>
          <w:color w:val="1F497D" w:themeColor="text2"/>
        </w:rPr>
        <w:t>Complaints – Notice that ATT has settled Civil Charges with Iv</w:t>
      </w:r>
      <w:r>
        <w:rPr>
          <w:rFonts w:ascii="Arial" w:hAnsi="Arial" w:cs="Arial"/>
          <w:color w:val="1F497D" w:themeColor="text2"/>
        </w:rPr>
        <w:t>t</w:t>
      </w:r>
      <w:r w:rsidR="00617B0C" w:rsidRPr="00781441">
        <w:rPr>
          <w:rFonts w:ascii="Arial" w:hAnsi="Arial" w:cs="Arial"/>
          <w:color w:val="1F497D" w:themeColor="text2"/>
        </w:rPr>
        <w:t>/EB.</w:t>
      </w:r>
    </w:p>
    <w:p w:rsidR="00AF0640" w:rsidRPr="00781441" w:rsidRDefault="00AF0640" w:rsidP="00C361EC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No further Criminal, Civil or Ethical Complaints to be filed regarding this nexus of events against ATT </w:t>
      </w:r>
      <w:r w:rsidR="0071596E">
        <w:rPr>
          <w:rFonts w:ascii="Arial" w:hAnsi="Arial" w:cs="Arial"/>
          <w:color w:val="1F497D" w:themeColor="text2"/>
        </w:rPr>
        <w:t>that occurred prior to any settlement</w:t>
      </w:r>
      <w:r w:rsidRPr="00781441">
        <w:rPr>
          <w:rFonts w:ascii="Arial" w:hAnsi="Arial" w:cs="Arial"/>
          <w:color w:val="1F497D" w:themeColor="text2"/>
        </w:rPr>
        <w:t>.</w:t>
      </w:r>
    </w:p>
    <w:p w:rsidR="00AF0640" w:rsidRPr="00781441" w:rsidRDefault="00AF0640" w:rsidP="00C361EC">
      <w:pPr>
        <w:jc w:val="both"/>
        <w:rPr>
          <w:rFonts w:ascii="Arial" w:hAnsi="Arial" w:cs="Arial"/>
          <w:color w:val="1F497D" w:themeColor="text2"/>
        </w:rPr>
      </w:pPr>
    </w:p>
    <w:p w:rsidR="00AF0640" w:rsidRPr="00781441" w:rsidRDefault="00AF0640" w:rsidP="00AF0640">
      <w:pPr>
        <w:rPr>
          <w:rFonts w:ascii="Arial" w:hAnsi="Arial" w:cs="Arial"/>
          <w:b/>
          <w:color w:val="1F497D" w:themeColor="text2"/>
        </w:rPr>
      </w:pPr>
      <w:r w:rsidRPr="00781441">
        <w:rPr>
          <w:rFonts w:ascii="Arial" w:hAnsi="Arial" w:cs="Arial"/>
          <w:b/>
          <w:color w:val="1F497D" w:themeColor="text2"/>
        </w:rPr>
        <w:t xml:space="preserve">Option 2 – Partnership </w:t>
      </w:r>
      <w:r w:rsidR="00C361EC" w:rsidRPr="00781441">
        <w:rPr>
          <w:rFonts w:ascii="Arial" w:hAnsi="Arial" w:cs="Arial"/>
          <w:b/>
          <w:color w:val="1F497D" w:themeColor="text2"/>
        </w:rPr>
        <w:t>A</w:t>
      </w:r>
      <w:r w:rsidRPr="00781441">
        <w:rPr>
          <w:rFonts w:ascii="Arial" w:hAnsi="Arial" w:cs="Arial"/>
          <w:b/>
          <w:color w:val="1F497D" w:themeColor="text2"/>
        </w:rPr>
        <w:t>rrangement</w:t>
      </w:r>
    </w:p>
    <w:p w:rsidR="00AF0640" w:rsidRPr="00781441" w:rsidRDefault="00AF0640" w:rsidP="00C361EC">
      <w:pPr>
        <w:rPr>
          <w:rFonts w:ascii="Arial" w:hAnsi="Arial" w:cs="Arial"/>
          <w:color w:val="1F497D" w:themeColor="text2"/>
        </w:rPr>
      </w:pPr>
    </w:p>
    <w:p w:rsidR="00C361EC" w:rsidRPr="00781441" w:rsidRDefault="00C361EC" w:rsidP="00C361EC">
      <w:pPr>
        <w:pStyle w:val="ListParagraph"/>
        <w:numPr>
          <w:ilvl w:val="0"/>
          <w:numId w:val="1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A significant </w:t>
      </w:r>
      <w:r w:rsidR="00AF0640" w:rsidRPr="00781441">
        <w:rPr>
          <w:rFonts w:ascii="Arial" w:hAnsi="Arial" w:cs="Arial"/>
          <w:color w:val="1F497D" w:themeColor="text2"/>
        </w:rPr>
        <w:t xml:space="preserve">License fee for past and future use, </w:t>
      </w:r>
      <w:r w:rsidRPr="00781441">
        <w:rPr>
          <w:rFonts w:ascii="Arial" w:hAnsi="Arial" w:cs="Arial"/>
          <w:color w:val="1F497D" w:themeColor="text2"/>
        </w:rPr>
        <w:t xml:space="preserve">such as the $200 million cited above, for </w:t>
      </w:r>
      <w:r w:rsidR="00617B0C" w:rsidRPr="00781441">
        <w:rPr>
          <w:rFonts w:ascii="Arial" w:hAnsi="Arial" w:cs="Arial"/>
          <w:color w:val="1F497D" w:themeColor="text2"/>
        </w:rPr>
        <w:t xml:space="preserve">the </w:t>
      </w:r>
      <w:r w:rsidRPr="00781441">
        <w:rPr>
          <w:rFonts w:ascii="Arial" w:hAnsi="Arial" w:cs="Arial"/>
          <w:color w:val="1F497D" w:themeColor="text2"/>
        </w:rPr>
        <w:t>past 14 years of use, plus $20 million per year for future use.</w:t>
      </w:r>
    </w:p>
    <w:p w:rsidR="00C361EC" w:rsidRPr="00781441" w:rsidRDefault="00C361EC" w:rsidP="00C361EC">
      <w:pPr>
        <w:pStyle w:val="ListParagraph"/>
        <w:numPr>
          <w:ilvl w:val="0"/>
          <w:numId w:val="1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A </w:t>
      </w:r>
      <w:r w:rsidRPr="008E170C">
        <w:rPr>
          <w:rFonts w:ascii="Arial" w:hAnsi="Arial" w:cs="Arial"/>
          <w:i/>
          <w:color w:val="1F497D" w:themeColor="text2"/>
        </w:rPr>
        <w:t>significant</w:t>
      </w:r>
      <w:r w:rsidRPr="00781441">
        <w:rPr>
          <w:rFonts w:ascii="Arial" w:hAnsi="Arial" w:cs="Arial"/>
          <w:color w:val="1F497D" w:themeColor="text2"/>
        </w:rPr>
        <w:t xml:space="preserve"> Equity award in ATT stock, TBN.</w:t>
      </w:r>
    </w:p>
    <w:p w:rsidR="00AF0640" w:rsidRPr="00781441" w:rsidRDefault="00C361EC" w:rsidP="00C361EC">
      <w:pPr>
        <w:pStyle w:val="ListParagraph"/>
        <w:numPr>
          <w:ilvl w:val="0"/>
          <w:numId w:val="1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Complete forgiveness for the role of </w:t>
      </w:r>
      <w:r w:rsidR="00AF0640" w:rsidRPr="00781441">
        <w:rPr>
          <w:rFonts w:ascii="Arial" w:hAnsi="Arial" w:cs="Arial"/>
          <w:color w:val="1F497D" w:themeColor="text2"/>
        </w:rPr>
        <w:t xml:space="preserve">ATT/Armstrong </w:t>
      </w:r>
    </w:p>
    <w:p w:rsidR="007320E5" w:rsidRPr="00781441" w:rsidRDefault="007320E5" w:rsidP="007320E5">
      <w:pPr>
        <w:pStyle w:val="ListParagraph"/>
        <w:numPr>
          <w:ilvl w:val="0"/>
          <w:numId w:val="15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A </w:t>
      </w:r>
      <w:r w:rsidR="00AF0640" w:rsidRPr="00781441">
        <w:rPr>
          <w:rFonts w:ascii="Arial" w:hAnsi="Arial" w:cs="Arial"/>
          <w:color w:val="1F497D" w:themeColor="text2"/>
        </w:rPr>
        <w:t xml:space="preserve">NewCo </w:t>
      </w:r>
      <w:r w:rsidRPr="00781441">
        <w:rPr>
          <w:rFonts w:ascii="Arial" w:hAnsi="Arial" w:cs="Arial"/>
          <w:color w:val="1F497D" w:themeColor="text2"/>
        </w:rPr>
        <w:t xml:space="preserve">to be  </w:t>
      </w:r>
      <w:r w:rsidR="00AF0640" w:rsidRPr="00781441">
        <w:rPr>
          <w:rFonts w:ascii="Arial" w:hAnsi="Arial" w:cs="Arial"/>
          <w:color w:val="1F497D" w:themeColor="text2"/>
        </w:rPr>
        <w:t>formed in Partnership for all licensing of all techs with royalty share with AT&amp;T</w:t>
      </w:r>
      <w:r w:rsidRPr="00781441">
        <w:rPr>
          <w:rFonts w:ascii="Arial" w:hAnsi="Arial" w:cs="Arial"/>
          <w:color w:val="1F497D" w:themeColor="text2"/>
        </w:rPr>
        <w:t>; specific terms and percentages TBN</w:t>
      </w:r>
    </w:p>
    <w:p w:rsidR="00AF0640" w:rsidRPr="00781441" w:rsidRDefault="00AF0640" w:rsidP="00617B0C">
      <w:pPr>
        <w:jc w:val="both"/>
        <w:rPr>
          <w:rFonts w:ascii="Arial" w:hAnsi="Arial" w:cs="Arial"/>
          <w:color w:val="1F497D" w:themeColor="text2"/>
        </w:rPr>
      </w:pPr>
    </w:p>
    <w:p w:rsidR="00A66B2D" w:rsidRDefault="00AF0640" w:rsidP="00617B0C">
      <w:pPr>
        <w:ind w:left="720"/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As this would be first </w:t>
      </w:r>
      <w:r w:rsidR="007C682C">
        <w:rPr>
          <w:rFonts w:ascii="Arial" w:hAnsi="Arial" w:cs="Arial"/>
          <w:color w:val="1F497D" w:themeColor="text2"/>
        </w:rPr>
        <w:t xml:space="preserve">IP </w:t>
      </w:r>
      <w:r w:rsidRPr="00781441">
        <w:rPr>
          <w:rFonts w:ascii="Arial" w:hAnsi="Arial" w:cs="Arial"/>
          <w:color w:val="1F497D" w:themeColor="text2"/>
        </w:rPr>
        <w:t>settlement for license, the higher the license fee that is struck with AT&amp;T, the higher the precedent set for next licensees</w:t>
      </w:r>
      <w:r w:rsidR="00945C94" w:rsidRPr="00781441">
        <w:rPr>
          <w:rFonts w:ascii="Arial" w:hAnsi="Arial" w:cs="Arial"/>
          <w:color w:val="1F497D" w:themeColor="text2"/>
        </w:rPr>
        <w:t xml:space="preserve"> resulting in </w:t>
      </w:r>
      <w:r w:rsidRPr="00781441">
        <w:rPr>
          <w:rFonts w:ascii="Arial" w:hAnsi="Arial" w:cs="Arial"/>
          <w:color w:val="1F497D" w:themeColor="text2"/>
        </w:rPr>
        <w:t>more collected for both parties</w:t>
      </w:r>
      <w:r w:rsidR="00945C94" w:rsidRPr="00781441">
        <w:rPr>
          <w:rFonts w:ascii="Arial" w:hAnsi="Arial" w:cs="Arial"/>
          <w:color w:val="1F497D" w:themeColor="text2"/>
        </w:rPr>
        <w:t xml:space="preserve"> - </w:t>
      </w:r>
      <w:r w:rsidR="007320E5" w:rsidRPr="00781441">
        <w:rPr>
          <w:rFonts w:ascii="Arial" w:hAnsi="Arial" w:cs="Arial"/>
          <w:color w:val="1F497D" w:themeColor="text2"/>
        </w:rPr>
        <w:t>ATT and Iv</w:t>
      </w:r>
      <w:r w:rsidR="00617B0C" w:rsidRPr="00781441">
        <w:rPr>
          <w:rFonts w:ascii="Arial" w:hAnsi="Arial" w:cs="Arial"/>
          <w:color w:val="1F497D" w:themeColor="text2"/>
        </w:rPr>
        <w:t>t/EB</w:t>
      </w:r>
      <w:r w:rsidR="00945C94" w:rsidRPr="00781441">
        <w:rPr>
          <w:rFonts w:ascii="Arial" w:hAnsi="Arial" w:cs="Arial"/>
          <w:color w:val="1F497D" w:themeColor="text2"/>
        </w:rPr>
        <w:t xml:space="preserve">.  In our view ATT </w:t>
      </w:r>
      <w:r w:rsidR="007320E5" w:rsidRPr="00781441">
        <w:rPr>
          <w:rFonts w:ascii="Arial" w:hAnsi="Arial" w:cs="Arial"/>
          <w:color w:val="1F497D" w:themeColor="text2"/>
        </w:rPr>
        <w:t xml:space="preserve">should </w:t>
      </w:r>
      <w:r w:rsidRPr="00781441">
        <w:rPr>
          <w:rFonts w:ascii="Arial" w:hAnsi="Arial" w:cs="Arial"/>
          <w:color w:val="1F497D" w:themeColor="text2"/>
        </w:rPr>
        <w:t xml:space="preserve">want </w:t>
      </w:r>
      <w:r w:rsidR="00617B0C" w:rsidRPr="00781441">
        <w:rPr>
          <w:rFonts w:ascii="Arial" w:hAnsi="Arial" w:cs="Arial"/>
          <w:color w:val="1F497D" w:themeColor="text2"/>
        </w:rPr>
        <w:t xml:space="preserve">to set an </w:t>
      </w:r>
      <w:r w:rsidRPr="00781441">
        <w:rPr>
          <w:rFonts w:ascii="Arial" w:hAnsi="Arial" w:cs="Arial"/>
          <w:color w:val="1F497D" w:themeColor="text2"/>
        </w:rPr>
        <w:t xml:space="preserve">historical precedent licensing fee on this first </w:t>
      </w:r>
      <w:r w:rsidR="007320E5" w:rsidRPr="00781441">
        <w:rPr>
          <w:rFonts w:ascii="Arial" w:hAnsi="Arial" w:cs="Arial"/>
          <w:color w:val="1F497D" w:themeColor="text2"/>
        </w:rPr>
        <w:t xml:space="preserve">settlement and conveyance of IP interest, </w:t>
      </w:r>
      <w:r w:rsidRPr="00781441">
        <w:rPr>
          <w:rFonts w:ascii="Arial" w:hAnsi="Arial" w:cs="Arial"/>
          <w:color w:val="1F497D" w:themeColor="text2"/>
        </w:rPr>
        <w:t xml:space="preserve">based on how much </w:t>
      </w:r>
      <w:r w:rsidR="00945C94" w:rsidRPr="00781441">
        <w:rPr>
          <w:rFonts w:ascii="Arial" w:hAnsi="Arial" w:cs="Arial"/>
          <w:color w:val="1F497D" w:themeColor="text2"/>
        </w:rPr>
        <w:t xml:space="preserve">infringing companies </w:t>
      </w:r>
      <w:r w:rsidRPr="00781441">
        <w:rPr>
          <w:rFonts w:ascii="Arial" w:hAnsi="Arial" w:cs="Arial"/>
          <w:color w:val="1F497D" w:themeColor="text2"/>
        </w:rPr>
        <w:t>grew in all markets</w:t>
      </w:r>
      <w:r w:rsidR="00945C94" w:rsidRPr="00781441">
        <w:rPr>
          <w:rFonts w:ascii="Arial" w:hAnsi="Arial" w:cs="Arial"/>
          <w:color w:val="1F497D" w:themeColor="text2"/>
        </w:rPr>
        <w:t xml:space="preserve">, </w:t>
      </w:r>
      <w:r w:rsidRPr="00781441">
        <w:rPr>
          <w:rFonts w:ascii="Arial" w:hAnsi="Arial" w:cs="Arial"/>
          <w:color w:val="1F497D" w:themeColor="text2"/>
        </w:rPr>
        <w:t>so that this same royalty fee logic and formula will be applied to all future licensees</w:t>
      </w:r>
      <w:r w:rsidR="00617B0C" w:rsidRPr="00781441">
        <w:rPr>
          <w:rFonts w:ascii="Arial" w:hAnsi="Arial" w:cs="Arial"/>
          <w:color w:val="1F497D" w:themeColor="text2"/>
        </w:rPr>
        <w:t xml:space="preserve">, </w:t>
      </w:r>
      <w:r w:rsidRPr="00781441">
        <w:rPr>
          <w:rFonts w:ascii="Arial" w:hAnsi="Arial" w:cs="Arial"/>
          <w:color w:val="1F497D" w:themeColor="text2"/>
        </w:rPr>
        <w:t xml:space="preserve">and thus set the strike price </w:t>
      </w:r>
      <w:r w:rsidR="00945C94" w:rsidRPr="00781441">
        <w:rPr>
          <w:rFonts w:ascii="Arial" w:hAnsi="Arial" w:cs="Arial"/>
          <w:color w:val="1F497D" w:themeColor="text2"/>
        </w:rPr>
        <w:t xml:space="preserve">with other infringers </w:t>
      </w:r>
      <w:r w:rsidRPr="00781441">
        <w:rPr>
          <w:rFonts w:ascii="Arial" w:hAnsi="Arial" w:cs="Arial"/>
          <w:color w:val="1F497D" w:themeColor="text2"/>
        </w:rPr>
        <w:t>at max</w:t>
      </w:r>
      <w:r w:rsidR="00945C94" w:rsidRPr="00781441">
        <w:rPr>
          <w:rFonts w:ascii="Arial" w:hAnsi="Arial" w:cs="Arial"/>
          <w:color w:val="1F497D" w:themeColor="text2"/>
        </w:rPr>
        <w:t xml:space="preserve">imum </w:t>
      </w:r>
      <w:r w:rsidRPr="00781441">
        <w:rPr>
          <w:rFonts w:ascii="Arial" w:hAnsi="Arial" w:cs="Arial"/>
          <w:color w:val="1F497D" w:themeColor="text2"/>
        </w:rPr>
        <w:t xml:space="preserve">pain.  </w:t>
      </w:r>
      <w:r w:rsidR="00516943">
        <w:rPr>
          <w:rFonts w:ascii="Arial" w:hAnsi="Arial" w:cs="Arial"/>
          <w:color w:val="1F497D" w:themeColor="text2"/>
        </w:rPr>
        <w:t xml:space="preserve"> </w:t>
      </w:r>
      <w:r w:rsidR="007320E5" w:rsidRPr="00781441">
        <w:rPr>
          <w:rFonts w:ascii="Arial" w:hAnsi="Arial" w:cs="Arial"/>
          <w:color w:val="1F497D" w:themeColor="text2"/>
        </w:rPr>
        <w:t xml:space="preserve">This is not intended to be </w:t>
      </w:r>
      <w:r w:rsidRPr="00781441">
        <w:rPr>
          <w:rFonts w:ascii="Arial" w:hAnsi="Arial" w:cs="Arial"/>
          <w:color w:val="1F497D" w:themeColor="text2"/>
        </w:rPr>
        <w:t xml:space="preserve">brutal to AT&amp;T </w:t>
      </w:r>
      <w:r w:rsidR="007320E5" w:rsidRPr="00781441">
        <w:rPr>
          <w:rFonts w:ascii="Arial" w:hAnsi="Arial" w:cs="Arial"/>
          <w:color w:val="1F497D" w:themeColor="text2"/>
        </w:rPr>
        <w:t xml:space="preserve">as </w:t>
      </w:r>
      <w:r w:rsidRPr="00781441">
        <w:rPr>
          <w:rFonts w:ascii="Arial" w:hAnsi="Arial" w:cs="Arial"/>
          <w:color w:val="1F497D" w:themeColor="text2"/>
        </w:rPr>
        <w:t xml:space="preserve">it </w:t>
      </w:r>
      <w:r w:rsidR="007320E5" w:rsidRPr="00781441">
        <w:rPr>
          <w:rFonts w:ascii="Arial" w:hAnsi="Arial" w:cs="Arial"/>
          <w:color w:val="1F497D" w:themeColor="text2"/>
        </w:rPr>
        <w:t>would really i</w:t>
      </w:r>
      <w:r w:rsidRPr="00781441">
        <w:rPr>
          <w:rFonts w:ascii="Arial" w:hAnsi="Arial" w:cs="Arial"/>
          <w:color w:val="1F497D" w:themeColor="text2"/>
        </w:rPr>
        <w:t>ncreas</w:t>
      </w:r>
      <w:r w:rsidR="007320E5" w:rsidRPr="00781441">
        <w:rPr>
          <w:rFonts w:ascii="Arial" w:hAnsi="Arial" w:cs="Arial"/>
          <w:color w:val="1F497D" w:themeColor="text2"/>
        </w:rPr>
        <w:t>e the recovery returns in the ongoing process – i.e., t</w:t>
      </w:r>
      <w:r w:rsidRPr="00781441">
        <w:rPr>
          <w:rFonts w:ascii="Arial" w:hAnsi="Arial" w:cs="Arial"/>
          <w:color w:val="1F497D" w:themeColor="text2"/>
        </w:rPr>
        <w:t xml:space="preserve">he more </w:t>
      </w:r>
      <w:r w:rsidR="007320E5" w:rsidRPr="00781441">
        <w:rPr>
          <w:rFonts w:ascii="Arial" w:hAnsi="Arial" w:cs="Arial"/>
          <w:color w:val="1F497D" w:themeColor="text2"/>
        </w:rPr>
        <w:t xml:space="preserve">ATT pays Iviewit Bernstein, </w:t>
      </w:r>
      <w:r w:rsidRPr="00781441">
        <w:rPr>
          <w:rFonts w:ascii="Arial" w:hAnsi="Arial" w:cs="Arial"/>
          <w:color w:val="1F497D" w:themeColor="text2"/>
        </w:rPr>
        <w:t xml:space="preserve">the more others </w:t>
      </w:r>
      <w:r w:rsidR="007320E5" w:rsidRPr="00781441">
        <w:rPr>
          <w:rFonts w:ascii="Arial" w:hAnsi="Arial" w:cs="Arial"/>
          <w:color w:val="1F497D" w:themeColor="text2"/>
        </w:rPr>
        <w:t>should</w:t>
      </w:r>
      <w:r w:rsidR="00A66B2D">
        <w:rPr>
          <w:rFonts w:ascii="Arial" w:hAnsi="Arial" w:cs="Arial"/>
          <w:color w:val="1F497D" w:themeColor="text2"/>
        </w:rPr>
        <w:t xml:space="preserve">. The amount of equity paid to Iviewit could be paid out over </w:t>
      </w:r>
      <w:r w:rsidR="00130260">
        <w:rPr>
          <w:rFonts w:ascii="Arial" w:hAnsi="Arial" w:cs="Arial"/>
          <w:color w:val="1F497D" w:themeColor="text2"/>
        </w:rPr>
        <w:t xml:space="preserve">several </w:t>
      </w:r>
      <w:r w:rsidR="00A66B2D">
        <w:rPr>
          <w:rFonts w:ascii="Arial" w:hAnsi="Arial" w:cs="Arial"/>
          <w:color w:val="1F497D" w:themeColor="text2"/>
        </w:rPr>
        <w:t>years making it a small annual amount, while providing licensing fees that far surpass this amount annually.</w:t>
      </w:r>
    </w:p>
    <w:p w:rsidR="00AF0640" w:rsidRPr="00781441" w:rsidRDefault="00AF0640" w:rsidP="0075451F">
      <w:pPr>
        <w:ind w:left="720"/>
        <w:jc w:val="both"/>
        <w:rPr>
          <w:rFonts w:ascii="Arial" w:hAnsi="Arial" w:cs="Arial"/>
          <w:color w:val="1F497D" w:themeColor="text2"/>
        </w:rPr>
      </w:pPr>
    </w:p>
    <w:p w:rsidR="00AF0640" w:rsidRPr="00781441" w:rsidRDefault="00AF0640" w:rsidP="00AF0640">
      <w:pPr>
        <w:rPr>
          <w:rFonts w:ascii="Arial" w:hAnsi="Arial" w:cs="Arial"/>
          <w:b/>
          <w:color w:val="1F497D" w:themeColor="text2"/>
        </w:rPr>
      </w:pPr>
      <w:r w:rsidRPr="00781441">
        <w:rPr>
          <w:rFonts w:ascii="Arial" w:hAnsi="Arial" w:cs="Arial"/>
          <w:b/>
          <w:color w:val="1F497D" w:themeColor="text2"/>
        </w:rPr>
        <w:t xml:space="preserve">Option 3 – Full </w:t>
      </w:r>
      <w:r w:rsidR="00617B0C" w:rsidRPr="00781441">
        <w:rPr>
          <w:rFonts w:ascii="Arial" w:hAnsi="Arial" w:cs="Arial"/>
          <w:b/>
          <w:color w:val="1F497D" w:themeColor="text2"/>
        </w:rPr>
        <w:t xml:space="preserve">Ivt/EB </w:t>
      </w:r>
      <w:r w:rsidRPr="00781441">
        <w:rPr>
          <w:rFonts w:ascii="Arial" w:hAnsi="Arial" w:cs="Arial"/>
          <w:b/>
          <w:color w:val="1F497D" w:themeColor="text2"/>
        </w:rPr>
        <w:t>IP Buyout</w:t>
      </w:r>
    </w:p>
    <w:p w:rsidR="00AF0640" w:rsidRPr="00781441" w:rsidRDefault="00AF0640" w:rsidP="00AF0640">
      <w:pPr>
        <w:rPr>
          <w:rFonts w:ascii="Arial" w:hAnsi="Arial" w:cs="Arial"/>
          <w:b/>
          <w:color w:val="1F497D" w:themeColor="text2"/>
        </w:rPr>
      </w:pPr>
    </w:p>
    <w:p w:rsidR="00AF0640" w:rsidRPr="00781441" w:rsidRDefault="00AF0640" w:rsidP="007320E5">
      <w:pPr>
        <w:pStyle w:val="ListParagraph"/>
        <w:numPr>
          <w:ilvl w:val="0"/>
          <w:numId w:val="16"/>
        </w:numPr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Pay </w:t>
      </w:r>
      <w:r w:rsidR="0071596E">
        <w:rPr>
          <w:rFonts w:ascii="Arial" w:hAnsi="Arial" w:cs="Arial"/>
          <w:color w:val="1F497D" w:themeColor="text2"/>
        </w:rPr>
        <w:t xml:space="preserve">a </w:t>
      </w:r>
      <w:r w:rsidR="0075451F">
        <w:rPr>
          <w:rFonts w:ascii="Arial" w:hAnsi="Arial" w:cs="Arial"/>
          <w:color w:val="1F497D" w:themeColor="text2"/>
        </w:rPr>
        <w:t>monetary</w:t>
      </w:r>
      <w:r w:rsidR="000E32F8">
        <w:rPr>
          <w:rFonts w:ascii="Arial" w:hAnsi="Arial" w:cs="Arial"/>
          <w:color w:val="1F497D" w:themeColor="text2"/>
        </w:rPr>
        <w:t xml:space="preserve"> amount </w:t>
      </w:r>
      <w:r w:rsidR="00F06FBB">
        <w:rPr>
          <w:rFonts w:ascii="Arial" w:hAnsi="Arial" w:cs="Arial"/>
          <w:color w:val="1F497D" w:themeColor="text2"/>
        </w:rPr>
        <w:t xml:space="preserve">TBD, whereupon </w:t>
      </w:r>
      <w:r w:rsidR="0075451F">
        <w:rPr>
          <w:rFonts w:ascii="Arial" w:hAnsi="Arial" w:cs="Arial"/>
          <w:color w:val="1F497D" w:themeColor="text2"/>
        </w:rPr>
        <w:t>a</w:t>
      </w:r>
      <w:r w:rsidRPr="00781441">
        <w:rPr>
          <w:rFonts w:ascii="Arial" w:hAnsi="Arial" w:cs="Arial"/>
          <w:color w:val="1F497D" w:themeColor="text2"/>
        </w:rPr>
        <w:t xml:space="preserve">nd </w:t>
      </w:r>
      <w:r w:rsidR="007320E5" w:rsidRPr="00781441">
        <w:rPr>
          <w:rFonts w:ascii="Arial" w:hAnsi="Arial" w:cs="Arial"/>
          <w:color w:val="1F497D" w:themeColor="text2"/>
        </w:rPr>
        <w:t>all IP will be sold and transferred to ATT.</w:t>
      </w:r>
      <w:r w:rsidRPr="00781441">
        <w:rPr>
          <w:rFonts w:ascii="Arial" w:hAnsi="Arial" w:cs="Arial"/>
          <w:color w:val="1F497D" w:themeColor="text2"/>
        </w:rPr>
        <w:t xml:space="preserve">  </w:t>
      </w:r>
    </w:p>
    <w:p w:rsidR="00CA6917" w:rsidRPr="00781441" w:rsidRDefault="00CA6917" w:rsidP="00AF0640">
      <w:pPr>
        <w:rPr>
          <w:rFonts w:ascii="Arial" w:hAnsi="Arial" w:cs="Arial"/>
          <w:color w:val="1F497D" w:themeColor="text2"/>
        </w:rPr>
      </w:pPr>
    </w:p>
    <w:p w:rsidR="0039153B" w:rsidRPr="00781441" w:rsidRDefault="0039153B" w:rsidP="00CA6917">
      <w:pPr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Without meaning to sound cavalier, I am an active </w:t>
      </w:r>
      <w:r w:rsidR="0086370A" w:rsidRPr="00781441">
        <w:rPr>
          <w:rFonts w:ascii="Arial" w:hAnsi="Arial" w:cs="Arial"/>
          <w:color w:val="1F497D" w:themeColor="text2"/>
        </w:rPr>
        <w:t xml:space="preserve">student of </w:t>
      </w:r>
      <w:r w:rsidRPr="00781441">
        <w:rPr>
          <w:rFonts w:ascii="Arial" w:hAnsi="Arial" w:cs="Arial"/>
          <w:color w:val="1F497D" w:themeColor="text2"/>
        </w:rPr>
        <w:t>ATT</w:t>
      </w:r>
      <w:r w:rsidR="005B2819" w:rsidRPr="00781441">
        <w:rPr>
          <w:rFonts w:ascii="Arial" w:hAnsi="Arial" w:cs="Arial"/>
          <w:color w:val="1F497D" w:themeColor="text2"/>
        </w:rPr>
        <w:t xml:space="preserve"> and its </w:t>
      </w:r>
      <w:r w:rsidR="00F30569" w:rsidRPr="00781441">
        <w:rPr>
          <w:rFonts w:ascii="Arial" w:hAnsi="Arial" w:cs="Arial"/>
          <w:color w:val="1F497D" w:themeColor="text2"/>
        </w:rPr>
        <w:t>industry</w:t>
      </w:r>
      <w:r w:rsidR="0086370A" w:rsidRPr="00781441">
        <w:rPr>
          <w:rFonts w:ascii="Arial" w:hAnsi="Arial" w:cs="Arial"/>
          <w:color w:val="1F497D" w:themeColor="text2"/>
        </w:rPr>
        <w:t>,</w:t>
      </w:r>
      <w:r w:rsidRPr="00781441">
        <w:rPr>
          <w:rFonts w:ascii="Arial" w:hAnsi="Arial" w:cs="Arial"/>
          <w:color w:val="1F497D" w:themeColor="text2"/>
        </w:rPr>
        <w:t xml:space="preserve"> and I am quite aware that your Client knows how to both take risk and invest</w:t>
      </w:r>
      <w:r w:rsidR="00661FF2" w:rsidRPr="00781441">
        <w:rPr>
          <w:rFonts w:ascii="Arial" w:hAnsi="Arial" w:cs="Arial"/>
          <w:color w:val="1F497D" w:themeColor="text2"/>
        </w:rPr>
        <w:t xml:space="preserve">, </w:t>
      </w:r>
      <w:r w:rsidRPr="00781441">
        <w:rPr>
          <w:rFonts w:ascii="Arial" w:hAnsi="Arial" w:cs="Arial"/>
          <w:color w:val="1F497D" w:themeColor="text2"/>
        </w:rPr>
        <w:t xml:space="preserve">whether considering the nature of the </w:t>
      </w:r>
      <w:r w:rsidR="007320E5" w:rsidRPr="00781441">
        <w:rPr>
          <w:rFonts w:ascii="Arial" w:hAnsi="Arial" w:cs="Arial"/>
          <w:color w:val="1F497D" w:themeColor="text2"/>
        </w:rPr>
        <w:t>a</w:t>
      </w:r>
      <w:r w:rsidR="00945C94" w:rsidRPr="00781441">
        <w:rPr>
          <w:rFonts w:ascii="Arial" w:hAnsi="Arial" w:cs="Arial"/>
          <w:color w:val="1F497D" w:themeColor="text2"/>
        </w:rPr>
        <w:t xml:space="preserve">borted </w:t>
      </w:r>
      <w:r w:rsidRPr="00781441">
        <w:rPr>
          <w:rFonts w:ascii="Arial" w:hAnsi="Arial" w:cs="Arial"/>
          <w:color w:val="1F497D" w:themeColor="text2"/>
        </w:rPr>
        <w:t xml:space="preserve">T-Mobile </w:t>
      </w:r>
      <w:r w:rsidR="00945C94" w:rsidRPr="00781441">
        <w:rPr>
          <w:rFonts w:ascii="Arial" w:hAnsi="Arial" w:cs="Arial"/>
          <w:color w:val="1F497D" w:themeColor="text2"/>
        </w:rPr>
        <w:t>Acquisition; the T-Mobile Break</w:t>
      </w:r>
      <w:r w:rsidRPr="00781441">
        <w:rPr>
          <w:rFonts w:ascii="Arial" w:hAnsi="Arial" w:cs="Arial"/>
          <w:color w:val="1F497D" w:themeColor="text2"/>
        </w:rPr>
        <w:t xml:space="preserve">-Up Fee, </w:t>
      </w:r>
      <w:r w:rsidR="004B7B04">
        <w:rPr>
          <w:rFonts w:ascii="Arial" w:hAnsi="Arial" w:cs="Arial"/>
          <w:color w:val="1F497D" w:themeColor="text2"/>
        </w:rPr>
        <w:t xml:space="preserve">the proposed purchase of Direct TV, </w:t>
      </w:r>
      <w:r w:rsidRPr="00781441">
        <w:rPr>
          <w:rFonts w:ascii="Arial" w:hAnsi="Arial" w:cs="Arial"/>
          <w:color w:val="1F497D" w:themeColor="text2"/>
        </w:rPr>
        <w:t>or the currently reported interest in investing outside the United States</w:t>
      </w:r>
      <w:r w:rsidR="00661FF2" w:rsidRPr="00781441">
        <w:rPr>
          <w:rFonts w:ascii="Arial" w:hAnsi="Arial" w:cs="Arial"/>
          <w:color w:val="1F497D" w:themeColor="text2"/>
        </w:rPr>
        <w:t xml:space="preserve">, </w:t>
      </w:r>
      <w:r w:rsidRPr="00781441">
        <w:rPr>
          <w:rFonts w:ascii="Arial" w:hAnsi="Arial" w:cs="Arial"/>
          <w:color w:val="1F497D" w:themeColor="text2"/>
        </w:rPr>
        <w:t>likely in Europe</w:t>
      </w:r>
      <w:r w:rsidR="0086370A" w:rsidRPr="00781441">
        <w:rPr>
          <w:rFonts w:ascii="Arial" w:hAnsi="Arial" w:cs="Arial"/>
          <w:color w:val="1F497D" w:themeColor="text2"/>
        </w:rPr>
        <w:t>, whether Vodafone</w:t>
      </w:r>
      <w:r w:rsidR="00030555" w:rsidRPr="00781441">
        <w:rPr>
          <w:rFonts w:ascii="Arial" w:hAnsi="Arial" w:cs="Arial"/>
          <w:color w:val="1F497D" w:themeColor="text2"/>
        </w:rPr>
        <w:t>, Orange</w:t>
      </w:r>
      <w:r w:rsidR="0086370A" w:rsidRPr="00781441">
        <w:rPr>
          <w:rFonts w:ascii="Arial" w:hAnsi="Arial" w:cs="Arial"/>
          <w:color w:val="1F497D" w:themeColor="text2"/>
        </w:rPr>
        <w:t xml:space="preserve"> or others</w:t>
      </w:r>
      <w:r w:rsidRPr="00781441">
        <w:rPr>
          <w:rFonts w:ascii="Arial" w:hAnsi="Arial" w:cs="Arial"/>
          <w:color w:val="1F497D" w:themeColor="text2"/>
        </w:rPr>
        <w:t xml:space="preserve">.  </w:t>
      </w:r>
      <w:r w:rsidR="005B2819" w:rsidRPr="00781441">
        <w:rPr>
          <w:rFonts w:ascii="Arial" w:hAnsi="Arial" w:cs="Arial"/>
          <w:color w:val="1F497D" w:themeColor="text2"/>
        </w:rPr>
        <w:t>Obviously, by Verizon consolidating 100% ownership of Wireless for $130 Billion, plus the pressure from T-Mobile on pricing</w:t>
      </w:r>
      <w:r w:rsidR="0075451F">
        <w:rPr>
          <w:rFonts w:ascii="Arial" w:hAnsi="Arial" w:cs="Arial"/>
          <w:color w:val="1F497D" w:themeColor="text2"/>
        </w:rPr>
        <w:t xml:space="preserve">; the possible, if not likely consolidation or Sprint and T-Mobile, </w:t>
      </w:r>
      <w:r w:rsidR="005B2819" w:rsidRPr="00781441">
        <w:rPr>
          <w:rFonts w:ascii="Arial" w:hAnsi="Arial" w:cs="Arial"/>
          <w:color w:val="1F497D" w:themeColor="text2"/>
        </w:rPr>
        <w:t>your industry appears in flux, and ATT could benefit from new initiatives.  Thus</w:t>
      </w:r>
      <w:r w:rsidR="00F30569" w:rsidRPr="00781441">
        <w:rPr>
          <w:rFonts w:ascii="Arial" w:hAnsi="Arial" w:cs="Arial"/>
          <w:color w:val="1F497D" w:themeColor="text2"/>
        </w:rPr>
        <w:t>,</w:t>
      </w:r>
      <w:r w:rsidR="005B2819" w:rsidRPr="00781441">
        <w:rPr>
          <w:rFonts w:ascii="Arial" w:hAnsi="Arial" w:cs="Arial"/>
          <w:color w:val="1F497D" w:themeColor="text2"/>
        </w:rPr>
        <w:t xml:space="preserve"> </w:t>
      </w:r>
      <w:r w:rsidR="0086370A" w:rsidRPr="00781441">
        <w:rPr>
          <w:rFonts w:ascii="Arial" w:hAnsi="Arial" w:cs="Arial"/>
          <w:color w:val="1F497D" w:themeColor="text2"/>
        </w:rPr>
        <w:t>c</w:t>
      </w:r>
      <w:r w:rsidRPr="00781441">
        <w:rPr>
          <w:rFonts w:ascii="Arial" w:hAnsi="Arial" w:cs="Arial"/>
          <w:color w:val="1F497D" w:themeColor="text2"/>
        </w:rPr>
        <w:t xml:space="preserve">ontrolling the Iviewit/Bernstein IP might positively enhance </w:t>
      </w:r>
      <w:r w:rsidR="005B2819" w:rsidRPr="00781441">
        <w:rPr>
          <w:rFonts w:ascii="Arial" w:hAnsi="Arial" w:cs="Arial"/>
          <w:color w:val="1F497D" w:themeColor="text2"/>
        </w:rPr>
        <w:t xml:space="preserve">ATT’s </w:t>
      </w:r>
      <w:r w:rsidRPr="00781441">
        <w:rPr>
          <w:rFonts w:ascii="Arial" w:hAnsi="Arial" w:cs="Arial"/>
          <w:color w:val="1F497D" w:themeColor="text2"/>
        </w:rPr>
        <w:t xml:space="preserve">acquisition </w:t>
      </w:r>
      <w:r w:rsidR="005B2819" w:rsidRPr="00781441">
        <w:rPr>
          <w:rFonts w:ascii="Arial" w:hAnsi="Arial" w:cs="Arial"/>
          <w:color w:val="1F497D" w:themeColor="text2"/>
        </w:rPr>
        <w:t xml:space="preserve">or other growth and defensive </w:t>
      </w:r>
      <w:r w:rsidRPr="00781441">
        <w:rPr>
          <w:rFonts w:ascii="Arial" w:hAnsi="Arial" w:cs="Arial"/>
          <w:color w:val="1F497D" w:themeColor="text2"/>
        </w:rPr>
        <w:t>efforts.</w:t>
      </w:r>
    </w:p>
    <w:p w:rsidR="0039153B" w:rsidRPr="00781441" w:rsidRDefault="0039153B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D01428" w:rsidRDefault="00D01428" w:rsidP="00CA6917">
      <w:pPr>
        <w:jc w:val="both"/>
        <w:rPr>
          <w:rFonts w:ascii="Arial" w:hAnsi="Arial" w:cs="Arial"/>
          <w:color w:val="1F497D" w:themeColor="text2"/>
        </w:rPr>
      </w:pPr>
    </w:p>
    <w:p w:rsidR="005D2218" w:rsidRDefault="00CA6917" w:rsidP="00CA6917">
      <w:pPr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 xml:space="preserve">If you </w:t>
      </w:r>
      <w:r w:rsidR="0039153B" w:rsidRPr="00781441">
        <w:rPr>
          <w:rFonts w:ascii="Arial" w:hAnsi="Arial" w:cs="Arial"/>
          <w:color w:val="1F497D" w:themeColor="text2"/>
        </w:rPr>
        <w:t xml:space="preserve">develop </w:t>
      </w:r>
      <w:r w:rsidRPr="00781441">
        <w:rPr>
          <w:rFonts w:ascii="Arial" w:hAnsi="Arial" w:cs="Arial"/>
          <w:color w:val="1F497D" w:themeColor="text2"/>
        </w:rPr>
        <w:t xml:space="preserve">ongoing interest in </w:t>
      </w:r>
      <w:r w:rsidR="00945C94" w:rsidRPr="00781441">
        <w:rPr>
          <w:rFonts w:ascii="Arial" w:hAnsi="Arial" w:cs="Arial"/>
          <w:color w:val="1F497D" w:themeColor="text2"/>
        </w:rPr>
        <w:t xml:space="preserve">any of </w:t>
      </w:r>
      <w:r w:rsidRPr="00781441">
        <w:rPr>
          <w:rFonts w:ascii="Arial" w:hAnsi="Arial" w:cs="Arial"/>
          <w:color w:val="1F497D" w:themeColor="text2"/>
        </w:rPr>
        <w:t xml:space="preserve">this </w:t>
      </w:r>
      <w:r w:rsidR="0039153B" w:rsidRPr="00781441">
        <w:rPr>
          <w:rFonts w:ascii="Arial" w:hAnsi="Arial" w:cs="Arial"/>
          <w:color w:val="1F497D" w:themeColor="text2"/>
        </w:rPr>
        <w:t xml:space="preserve">proposition, </w:t>
      </w:r>
      <w:r w:rsidRPr="00781441">
        <w:rPr>
          <w:rFonts w:ascii="Arial" w:hAnsi="Arial" w:cs="Arial"/>
          <w:color w:val="1F497D" w:themeColor="text2"/>
        </w:rPr>
        <w:t xml:space="preserve">I </w:t>
      </w:r>
      <w:r w:rsidR="00945C94" w:rsidRPr="00781441">
        <w:rPr>
          <w:rFonts w:ascii="Arial" w:hAnsi="Arial" w:cs="Arial"/>
          <w:color w:val="1F497D" w:themeColor="text2"/>
        </w:rPr>
        <w:t>would suggest a Non-Refundable Binder Fee, of $10 million, be deposited within 7 days, giving ATT 30 days</w:t>
      </w:r>
      <w:r w:rsidR="005B2819" w:rsidRPr="00781441">
        <w:rPr>
          <w:rFonts w:ascii="Arial" w:hAnsi="Arial" w:cs="Arial"/>
          <w:color w:val="1F497D" w:themeColor="text2"/>
        </w:rPr>
        <w:t xml:space="preserve">, and </w:t>
      </w:r>
      <w:r w:rsidR="00617B0C" w:rsidRPr="00781441">
        <w:rPr>
          <w:rFonts w:ascii="Arial" w:hAnsi="Arial" w:cs="Arial"/>
          <w:color w:val="1F497D" w:themeColor="text2"/>
        </w:rPr>
        <w:t xml:space="preserve">exclusive rights </w:t>
      </w:r>
      <w:r w:rsidR="00945C94" w:rsidRPr="00781441">
        <w:rPr>
          <w:rFonts w:ascii="Arial" w:hAnsi="Arial" w:cs="Arial"/>
          <w:color w:val="1F497D" w:themeColor="text2"/>
        </w:rPr>
        <w:t xml:space="preserve">to </w:t>
      </w:r>
      <w:r w:rsidR="005B2819" w:rsidRPr="00781441">
        <w:rPr>
          <w:rFonts w:ascii="Arial" w:hAnsi="Arial" w:cs="Arial"/>
          <w:color w:val="1F497D" w:themeColor="text2"/>
        </w:rPr>
        <w:t xml:space="preserve">negotiate in good faith and </w:t>
      </w:r>
      <w:r w:rsidR="00945C94" w:rsidRPr="00781441">
        <w:rPr>
          <w:rFonts w:ascii="Arial" w:hAnsi="Arial" w:cs="Arial"/>
          <w:color w:val="1F497D" w:themeColor="text2"/>
        </w:rPr>
        <w:t xml:space="preserve">finalize a transaction.  </w:t>
      </w:r>
      <w:r w:rsidR="005D2218">
        <w:rPr>
          <w:rFonts w:ascii="Arial" w:hAnsi="Arial" w:cs="Arial"/>
          <w:color w:val="1F497D" w:themeColor="text2"/>
        </w:rPr>
        <w:t xml:space="preserve">Upon receipt of your positive response, om </w:t>
      </w:r>
      <w:r w:rsidR="005B2819" w:rsidRPr="00781441">
        <w:rPr>
          <w:rFonts w:ascii="Arial" w:hAnsi="Arial" w:cs="Arial"/>
          <w:color w:val="1F497D" w:themeColor="text2"/>
        </w:rPr>
        <w:t>we w</w:t>
      </w:r>
      <w:r w:rsidR="005D2218">
        <w:rPr>
          <w:rFonts w:ascii="Arial" w:hAnsi="Arial" w:cs="Arial"/>
          <w:color w:val="1F497D" w:themeColor="text2"/>
        </w:rPr>
        <w:t xml:space="preserve">ill </w:t>
      </w:r>
      <w:r w:rsidR="005B2819" w:rsidRPr="00781441">
        <w:rPr>
          <w:rFonts w:ascii="Arial" w:hAnsi="Arial" w:cs="Arial"/>
          <w:color w:val="1F497D" w:themeColor="text2"/>
        </w:rPr>
        <w:t>be represented by appropriate</w:t>
      </w:r>
      <w:r w:rsidR="005D2218">
        <w:rPr>
          <w:rFonts w:ascii="Arial" w:hAnsi="Arial" w:cs="Arial"/>
          <w:color w:val="1F497D" w:themeColor="text2"/>
        </w:rPr>
        <w:t xml:space="preserve">, competent </w:t>
      </w:r>
      <w:r w:rsidR="005B2819" w:rsidRPr="00781441">
        <w:rPr>
          <w:rFonts w:ascii="Arial" w:hAnsi="Arial" w:cs="Arial"/>
          <w:color w:val="1F497D" w:themeColor="text2"/>
        </w:rPr>
        <w:t xml:space="preserve">Counsel.  </w:t>
      </w:r>
    </w:p>
    <w:p w:rsidR="005D2218" w:rsidRDefault="005D2218" w:rsidP="00CA6917">
      <w:pPr>
        <w:jc w:val="both"/>
        <w:rPr>
          <w:rFonts w:ascii="Arial" w:hAnsi="Arial" w:cs="Arial"/>
          <w:color w:val="1F497D" w:themeColor="text2"/>
        </w:rPr>
      </w:pPr>
    </w:p>
    <w:p w:rsidR="00CA6917" w:rsidRDefault="005D2218" w:rsidP="00CA6917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Of course, i</w:t>
      </w:r>
      <w:r w:rsidR="005B2819" w:rsidRPr="00781441">
        <w:rPr>
          <w:rFonts w:ascii="Arial" w:hAnsi="Arial" w:cs="Arial"/>
          <w:color w:val="1F497D" w:themeColor="text2"/>
        </w:rPr>
        <w:t xml:space="preserve">t goes without saying </w:t>
      </w:r>
      <w:r w:rsidR="00CA6917" w:rsidRPr="00781441">
        <w:rPr>
          <w:rFonts w:ascii="Arial" w:hAnsi="Arial" w:cs="Arial"/>
          <w:color w:val="1F497D" w:themeColor="text2"/>
        </w:rPr>
        <w:t xml:space="preserve">that neither proper exposure, nor full justice, can be given to this situation and opportunity in the absence of a face-to-face meeting. </w:t>
      </w:r>
    </w:p>
    <w:p w:rsidR="00CA6917" w:rsidRPr="00781441" w:rsidRDefault="00CA6917" w:rsidP="00CA6917">
      <w:pPr>
        <w:jc w:val="both"/>
        <w:rPr>
          <w:rFonts w:ascii="Arial" w:hAnsi="Arial" w:cs="Arial"/>
          <w:color w:val="1F497D" w:themeColor="text2"/>
        </w:rPr>
      </w:pPr>
    </w:p>
    <w:p w:rsidR="00945C94" w:rsidRPr="00781441" w:rsidRDefault="00945C94" w:rsidP="00CA6917">
      <w:pPr>
        <w:jc w:val="both"/>
        <w:rPr>
          <w:rFonts w:ascii="Arial" w:hAnsi="Arial" w:cs="Arial"/>
          <w:color w:val="1F497D" w:themeColor="text2"/>
        </w:rPr>
      </w:pPr>
      <w:r w:rsidRPr="00781441">
        <w:rPr>
          <w:rFonts w:ascii="Arial" w:hAnsi="Arial" w:cs="Arial"/>
          <w:color w:val="1F497D" w:themeColor="text2"/>
        </w:rPr>
        <w:t>Respectfully yours.</w:t>
      </w:r>
    </w:p>
    <w:p w:rsidR="00945C94" w:rsidRPr="00781441" w:rsidRDefault="00945C94" w:rsidP="00CA6917">
      <w:pPr>
        <w:jc w:val="both"/>
        <w:rPr>
          <w:rFonts w:ascii="Arial" w:hAnsi="Arial" w:cs="Arial"/>
          <w:color w:val="1F497D" w:themeColor="text2"/>
        </w:rPr>
      </w:pPr>
    </w:p>
    <w:p w:rsidR="00945C94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Edwardian Script ITC" w:hAnsi="Edwardian Script ITC"/>
          <w:b/>
          <w:bCs/>
          <w:color w:val="1F497D" w:themeColor="text2"/>
          <w:sz w:val="40"/>
          <w:szCs w:val="40"/>
        </w:rPr>
        <w:t>Raymond T. Hersh</w:t>
      </w:r>
      <w:r w:rsidRPr="00781441">
        <w:rPr>
          <w:b/>
          <w:bCs/>
          <w:color w:val="1F497D" w:themeColor="text2"/>
        </w:rPr>
        <w:t> </w:t>
      </w:r>
    </w:p>
    <w:p w:rsidR="00D01428" w:rsidRPr="00781441" w:rsidRDefault="00D01428" w:rsidP="00945C94">
      <w:pPr>
        <w:rPr>
          <w:b/>
          <w:bCs/>
          <w:color w:val="1F497D" w:themeColor="text2"/>
        </w:rPr>
      </w:pP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Raymond T. Hersh</w:t>
      </w: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President</w:t>
      </w: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RTH Associates, Inc.</w:t>
      </w: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P: (561) 447-6500</w:t>
      </w: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C: (561) 212-5897</w:t>
      </w:r>
    </w:p>
    <w:p w:rsidR="00945C94" w:rsidRPr="00781441" w:rsidRDefault="00945C94" w:rsidP="00945C94">
      <w:pPr>
        <w:rPr>
          <w:b/>
          <w:bCs/>
          <w:color w:val="1F497D" w:themeColor="text2"/>
        </w:rPr>
      </w:pPr>
      <w:r w:rsidRPr="00781441">
        <w:rPr>
          <w:rFonts w:ascii="Arial" w:hAnsi="Arial" w:cs="Arial"/>
          <w:b/>
          <w:bCs/>
          <w:color w:val="1F497D" w:themeColor="text2"/>
        </w:rPr>
        <w:t>F: (561) 447-6500</w:t>
      </w:r>
    </w:p>
    <w:p w:rsidR="00945C94" w:rsidRPr="00781441" w:rsidRDefault="002E4981" w:rsidP="00945C94">
      <w:pPr>
        <w:rPr>
          <w:rFonts w:ascii="Arial" w:hAnsi="Arial" w:cs="Arial"/>
          <w:b/>
          <w:bCs/>
          <w:color w:val="1F497D" w:themeColor="text2"/>
        </w:rPr>
      </w:pPr>
      <w:hyperlink r:id="rId6" w:history="1">
        <w:r w:rsidR="00945C94" w:rsidRPr="00781441">
          <w:rPr>
            <w:rStyle w:val="Hyperlink"/>
            <w:rFonts w:ascii="Arial" w:hAnsi="Arial" w:cs="Arial"/>
            <w:b/>
            <w:bCs/>
            <w:color w:val="1F497D" w:themeColor="text2"/>
          </w:rPr>
          <w:t>raymond@rthassociates.org</w:t>
        </w:r>
      </w:hyperlink>
    </w:p>
    <w:p w:rsidR="00945C94" w:rsidRPr="00781441" w:rsidRDefault="002E4981" w:rsidP="00945C94">
      <w:pPr>
        <w:rPr>
          <w:rFonts w:ascii="Arial" w:hAnsi="Arial" w:cs="Arial"/>
          <w:b/>
          <w:bCs/>
          <w:color w:val="1F497D" w:themeColor="text2"/>
        </w:rPr>
      </w:pPr>
      <w:hyperlink r:id="rId7" w:history="1">
        <w:r w:rsidR="00945C94" w:rsidRPr="00781441">
          <w:rPr>
            <w:rStyle w:val="Hyperlink"/>
            <w:rFonts w:ascii="Arial" w:hAnsi="Arial" w:cs="Arial"/>
            <w:b/>
            <w:bCs/>
            <w:color w:val="1F497D" w:themeColor="text2"/>
          </w:rPr>
          <w:t>www.rthassociates.org</w:t>
        </w:r>
      </w:hyperlink>
    </w:p>
    <w:p w:rsidR="00945C94" w:rsidRPr="00781441" w:rsidRDefault="00945C94" w:rsidP="00945C94">
      <w:pPr>
        <w:rPr>
          <w:rFonts w:ascii="Arial" w:hAnsi="Arial" w:cs="Arial"/>
          <w:b/>
          <w:bCs/>
          <w:color w:val="1F497D" w:themeColor="text2"/>
        </w:rPr>
      </w:pPr>
    </w:p>
    <w:p w:rsidR="00945C94" w:rsidRDefault="00945C94" w:rsidP="00945C94">
      <w:pPr>
        <w:rPr>
          <w:rFonts w:ascii="Arial" w:hAnsi="Arial" w:cs="Arial"/>
          <w:b/>
          <w:bCs/>
          <w:color w:val="365F91"/>
        </w:rPr>
      </w:pPr>
      <w:r>
        <w:rPr>
          <w:b/>
          <w:bCs/>
          <w:noProof/>
          <w:color w:val="1F497D"/>
        </w:rPr>
        <w:drawing>
          <wp:inline distT="0" distB="0" distL="0" distR="0">
            <wp:extent cx="1323975" cy="781050"/>
            <wp:effectExtent l="19050" t="0" r="9525" b="0"/>
            <wp:docPr id="6" name="Picture_x005f_x0020_1" descr="RTH Ass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1" descr="RTH Assoc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C94" w:rsidRDefault="00945C94" w:rsidP="00945C94">
      <w:pPr>
        <w:rPr>
          <w:b/>
          <w:bCs/>
          <w:color w:val="365F91"/>
        </w:rPr>
      </w:pPr>
    </w:p>
    <w:p w:rsidR="00945C94" w:rsidRDefault="00945C94" w:rsidP="00945C94">
      <w:pPr>
        <w:rPr>
          <w:b/>
          <w:bCs/>
          <w:color w:val="365F91"/>
        </w:rPr>
      </w:pPr>
    </w:p>
    <w:p w:rsidR="00353880" w:rsidRDefault="00353880" w:rsidP="0035388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Adam Floyd [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mailto:AFloyd@fblawllp.com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April 11, 2012 12:47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Eliot I. Bernstein (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iviewit@iviewit.tv</w:t>
        </w:r>
      </w:hyperlink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Settlement Offer</w:t>
      </w:r>
    </w:p>
    <w:p w:rsidR="00353880" w:rsidRDefault="00353880" w:rsidP="00353880"/>
    <w:p w:rsidR="00353880" w:rsidRDefault="00353880" w:rsidP="00353880">
      <w:r>
        <w:t>Before taking your settlement offer to my client, I want written confirmation (email is fine) to the terms.</w:t>
      </w:r>
    </w:p>
    <w:p w:rsidR="00353880" w:rsidRDefault="00353880" w:rsidP="00353880"/>
    <w:p w:rsidR="00353880" w:rsidRDefault="00353880" w:rsidP="00353880">
      <w:r>
        <w:t>Here are the terms you have offered:</w:t>
      </w:r>
    </w:p>
    <w:p w:rsidR="00353880" w:rsidRDefault="00353880" w:rsidP="00353880">
      <w:pPr>
        <w:pStyle w:val="ListParagraph"/>
        <w:numPr>
          <w:ilvl w:val="0"/>
          <w:numId w:val="1"/>
        </w:numPr>
      </w:pPr>
      <w:r>
        <w:t>33% of the value of all of AT&amp;T’s stock;</w:t>
      </w:r>
    </w:p>
    <w:p w:rsidR="00353880" w:rsidRDefault="00353880" w:rsidP="00353880">
      <w:pPr>
        <w:pStyle w:val="ListParagraph"/>
        <w:numPr>
          <w:ilvl w:val="0"/>
          <w:numId w:val="1"/>
        </w:numPr>
      </w:pPr>
      <w:r>
        <w:t xml:space="preserve">a license to all of </w:t>
      </w:r>
      <w:r w:rsidR="00617B0C">
        <w:t>Iviewit’s</w:t>
      </w:r>
      <w:r>
        <w:t xml:space="preserve"> technology including any and all patents that may issue;</w:t>
      </w:r>
    </w:p>
    <w:p w:rsidR="00353880" w:rsidRDefault="00353880" w:rsidP="00353880">
      <w:pPr>
        <w:pStyle w:val="ListParagraph"/>
        <w:numPr>
          <w:ilvl w:val="0"/>
          <w:numId w:val="1"/>
        </w:numPr>
      </w:pPr>
      <w:r>
        <w:t>a dismissal of all existing claims against AT&amp;T;</w:t>
      </w:r>
    </w:p>
    <w:p w:rsidR="00353880" w:rsidRDefault="00353880" w:rsidP="00353880">
      <w:pPr>
        <w:pStyle w:val="ListParagraph"/>
        <w:numPr>
          <w:ilvl w:val="0"/>
          <w:numId w:val="1"/>
        </w:numPr>
      </w:pPr>
      <w:r>
        <w:t>a covenant not to sue AT&amp;T or F&amp;B;</w:t>
      </w:r>
    </w:p>
    <w:p w:rsidR="00353880" w:rsidRDefault="00353880" w:rsidP="00353880">
      <w:pPr>
        <w:pStyle w:val="ListParagraph"/>
        <w:numPr>
          <w:ilvl w:val="0"/>
          <w:numId w:val="1"/>
        </w:numPr>
      </w:pPr>
      <w:r>
        <w:t>a convenant not to file any complaints against AT&amp;T, F&amp;B, or an of their attorneys to the state bars, PTO bar, or any other agency.</w:t>
      </w:r>
    </w:p>
    <w:p w:rsidR="00353880" w:rsidRDefault="00353880" w:rsidP="00353880"/>
    <w:p w:rsidR="00353880" w:rsidRDefault="00353880" w:rsidP="00353880">
      <w:r>
        <w:t>Please let me know if this is correct.  I would also strongly encourage you to provide a realistic number, if you actually are intending to resolve all issues you have with AT&amp;T.</w:t>
      </w:r>
    </w:p>
    <w:p w:rsidR="00353880" w:rsidRDefault="00353880" w:rsidP="00353880"/>
    <w:p w:rsidR="00353880" w:rsidRDefault="00353880" w:rsidP="0035388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4092"/>
      </w:tblGrid>
      <w:tr w:rsidR="00353880" w:rsidTr="00353880">
        <w:trPr>
          <w:trHeight w:val="279"/>
        </w:trPr>
        <w:tc>
          <w:tcPr>
            <w:tcW w:w="17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Adam V. Floyd</w:t>
            </w: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F&amp;B LLP</w:t>
            </w: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5113 Southwest Parkway, Suite 140</w:t>
            </w: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Austin, TX  78735</w:t>
            </w: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T:  512.681.1501</w:t>
            </w:r>
          </w:p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F:  512.681.1590</w:t>
            </w:r>
          </w:p>
        </w:tc>
      </w:tr>
      <w:tr w:rsidR="00353880" w:rsidTr="00353880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53880" w:rsidRDefault="0035388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880" w:rsidRDefault="002E4981">
            <w:pPr>
              <w:rPr>
                <w:rFonts w:ascii="Bookman Old Style" w:hAnsi="Bookman Old Style"/>
                <w:sz w:val="20"/>
                <w:szCs w:val="20"/>
              </w:rPr>
            </w:pPr>
            <w:hyperlink r:id="rId12" w:history="1">
              <w:r w:rsidR="00353880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afloyd@fblawllp.com</w:t>
              </w:r>
            </w:hyperlink>
          </w:p>
          <w:p w:rsidR="00353880" w:rsidRDefault="002E4981">
            <w:pPr>
              <w:rPr>
                <w:rFonts w:ascii="Bookman Old Style" w:hAnsi="Bookman Old Style"/>
                <w:sz w:val="20"/>
                <w:szCs w:val="20"/>
              </w:rPr>
            </w:pPr>
            <w:hyperlink r:id="rId13" w:history="1">
              <w:r w:rsidR="00353880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www.fblawllp.com</w:t>
              </w:r>
            </w:hyperlink>
          </w:p>
        </w:tc>
      </w:tr>
    </w:tbl>
    <w:p w:rsidR="00D76BCE" w:rsidRDefault="00D76BCE" w:rsidP="00D01428"/>
    <w:sectPr w:rsidR="00D76BCE" w:rsidSect="00D7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FE1"/>
    <w:multiLevelType w:val="hybridMultilevel"/>
    <w:tmpl w:val="BE181B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1C4"/>
    <w:multiLevelType w:val="hybridMultilevel"/>
    <w:tmpl w:val="7D32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12A27"/>
    <w:multiLevelType w:val="hybridMultilevel"/>
    <w:tmpl w:val="C9B006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00F49"/>
    <w:multiLevelType w:val="hybridMultilevel"/>
    <w:tmpl w:val="3C9E0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2D06"/>
    <w:multiLevelType w:val="hybridMultilevel"/>
    <w:tmpl w:val="EDCA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7888"/>
    <w:multiLevelType w:val="multilevel"/>
    <w:tmpl w:val="9A42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4477C"/>
    <w:multiLevelType w:val="hybridMultilevel"/>
    <w:tmpl w:val="D8CA5BA4"/>
    <w:lvl w:ilvl="0" w:tplc="F906DC9A">
      <w:start w:val="1"/>
      <w:numFmt w:val="upperRoman"/>
      <w:lvlText w:val="%1."/>
      <w:lvlJc w:val="left"/>
      <w:pPr>
        <w:ind w:left="1260" w:hanging="900"/>
      </w:pPr>
      <w:rPr>
        <w:rFonts w:hint="default"/>
      </w:rPr>
    </w:lvl>
    <w:lvl w:ilvl="1" w:tplc="1DE8B05A">
      <w:start w:val="1"/>
      <w:numFmt w:val="lowerLetter"/>
      <w:lvlText w:val="%2.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A2655"/>
    <w:multiLevelType w:val="hybridMultilevel"/>
    <w:tmpl w:val="AA0E5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2BEE"/>
    <w:multiLevelType w:val="hybridMultilevel"/>
    <w:tmpl w:val="B77204E2"/>
    <w:lvl w:ilvl="0" w:tplc="7204972A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02C92"/>
    <w:multiLevelType w:val="hybridMultilevel"/>
    <w:tmpl w:val="B7BE7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90CE6"/>
    <w:multiLevelType w:val="hybridMultilevel"/>
    <w:tmpl w:val="F2485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983C93"/>
    <w:multiLevelType w:val="hybridMultilevel"/>
    <w:tmpl w:val="039A95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B37AAB"/>
    <w:multiLevelType w:val="hybridMultilevel"/>
    <w:tmpl w:val="83C6B4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1677F"/>
    <w:multiLevelType w:val="hybridMultilevel"/>
    <w:tmpl w:val="915CE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25056C"/>
    <w:multiLevelType w:val="hybridMultilevel"/>
    <w:tmpl w:val="4F62C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880"/>
    <w:rsid w:val="000234AC"/>
    <w:rsid w:val="00030555"/>
    <w:rsid w:val="000A5330"/>
    <w:rsid w:val="000C2E88"/>
    <w:rsid w:val="000E32F8"/>
    <w:rsid w:val="00130260"/>
    <w:rsid w:val="00254BE8"/>
    <w:rsid w:val="002764FC"/>
    <w:rsid w:val="002E4981"/>
    <w:rsid w:val="0031470C"/>
    <w:rsid w:val="003455B0"/>
    <w:rsid w:val="003535AB"/>
    <w:rsid w:val="00353880"/>
    <w:rsid w:val="003617DE"/>
    <w:rsid w:val="00377D99"/>
    <w:rsid w:val="0039153B"/>
    <w:rsid w:val="003B60AE"/>
    <w:rsid w:val="00410AB9"/>
    <w:rsid w:val="00485237"/>
    <w:rsid w:val="004B7B04"/>
    <w:rsid w:val="004C3315"/>
    <w:rsid w:val="00516943"/>
    <w:rsid w:val="0052576E"/>
    <w:rsid w:val="005B2819"/>
    <w:rsid w:val="005D2218"/>
    <w:rsid w:val="005E4D5E"/>
    <w:rsid w:val="00600B71"/>
    <w:rsid w:val="00617B0C"/>
    <w:rsid w:val="0062402B"/>
    <w:rsid w:val="00661FF2"/>
    <w:rsid w:val="006B7A76"/>
    <w:rsid w:val="006D70B4"/>
    <w:rsid w:val="0071596E"/>
    <w:rsid w:val="007320E5"/>
    <w:rsid w:val="007516E5"/>
    <w:rsid w:val="0075451F"/>
    <w:rsid w:val="00781441"/>
    <w:rsid w:val="00781C9F"/>
    <w:rsid w:val="007A6BC6"/>
    <w:rsid w:val="007C682C"/>
    <w:rsid w:val="007E09B8"/>
    <w:rsid w:val="0086370A"/>
    <w:rsid w:val="008935DA"/>
    <w:rsid w:val="008B13E6"/>
    <w:rsid w:val="008E0AD4"/>
    <w:rsid w:val="008E170C"/>
    <w:rsid w:val="00945C94"/>
    <w:rsid w:val="009463E1"/>
    <w:rsid w:val="00967D02"/>
    <w:rsid w:val="00977618"/>
    <w:rsid w:val="00A127B1"/>
    <w:rsid w:val="00A60B53"/>
    <w:rsid w:val="00A66B2D"/>
    <w:rsid w:val="00AF0640"/>
    <w:rsid w:val="00B01DBA"/>
    <w:rsid w:val="00BC046B"/>
    <w:rsid w:val="00C025A0"/>
    <w:rsid w:val="00C02DF0"/>
    <w:rsid w:val="00C361EC"/>
    <w:rsid w:val="00C4194B"/>
    <w:rsid w:val="00C60C0D"/>
    <w:rsid w:val="00CA49F4"/>
    <w:rsid w:val="00CA6917"/>
    <w:rsid w:val="00D01428"/>
    <w:rsid w:val="00D57DB5"/>
    <w:rsid w:val="00D76BCE"/>
    <w:rsid w:val="00DA51D8"/>
    <w:rsid w:val="00E74B4E"/>
    <w:rsid w:val="00F06FBB"/>
    <w:rsid w:val="00F30569"/>
    <w:rsid w:val="00F42404"/>
    <w:rsid w:val="00F9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9CAAB-A9DC-4661-81EF-6A2940E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8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8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38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blawllp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aymond\AppData\Local\Microsoft\Windows\Temporary%20Internet%20Files\Content.Outlook\LGO1UCH7\www.rthassociates.org" TargetMode="External"/><Relationship Id="rId12" Type="http://schemas.openxmlformats.org/officeDocument/2006/relationships/hyperlink" Target="mailto:jgray@fblawll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hersh@comcast.net" TargetMode="External"/><Relationship Id="rId11" Type="http://schemas.openxmlformats.org/officeDocument/2006/relationships/hyperlink" Target="mailto:iviewit@iviewit.tv" TargetMode="External"/><Relationship Id="rId5" Type="http://schemas.openxmlformats.org/officeDocument/2006/relationships/hyperlink" Target="http://iviewit.tv/CompanyDocs/Appendix%20A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Floyd@fblawllp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CED70B.59F16F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Eliot Bernstein</cp:lastModifiedBy>
  <cp:revision>2</cp:revision>
  <cp:lastPrinted>2013-11-02T15:53:00Z</cp:lastPrinted>
  <dcterms:created xsi:type="dcterms:W3CDTF">2018-12-14T14:00:00Z</dcterms:created>
  <dcterms:modified xsi:type="dcterms:W3CDTF">2018-12-14T14:00:00Z</dcterms:modified>
</cp:coreProperties>
</file>